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DF24" w14:textId="77777777" w:rsidR="00A61385" w:rsidRPr="00A61385" w:rsidRDefault="00A61385" w:rsidP="00A61385">
      <w:pPr>
        <w:spacing w:after="0" w:line="240" w:lineRule="auto"/>
        <w:rPr>
          <w:rFonts w:ascii="Open Sans" w:eastAsia="Tahoma" w:hAnsi="Open Sans" w:cs="Tahoma"/>
          <w:b/>
          <w:bCs/>
          <w:sz w:val="24"/>
          <w:szCs w:val="20"/>
          <w:lang w:val="en-US"/>
        </w:rPr>
      </w:pPr>
      <w:r w:rsidRPr="00A61385">
        <w:rPr>
          <w:rFonts w:ascii="Open Sans" w:eastAsia="Tahoma" w:hAnsi="Open Sans" w:cs="Tahoma"/>
          <w:b/>
          <w:bCs/>
          <w:sz w:val="24"/>
          <w:szCs w:val="20"/>
          <w:lang w:val="en-US"/>
        </w:rPr>
        <w:t>Easy Mixers</w:t>
      </w:r>
    </w:p>
    <w:p w14:paraId="506C6DA8" w14:textId="63F62930" w:rsidR="00D86431" w:rsidRPr="00F33234" w:rsidRDefault="00A61385" w:rsidP="00A61385">
      <w:pPr>
        <w:spacing w:after="0" w:line="240" w:lineRule="auto"/>
        <w:rPr>
          <w:rFonts w:ascii="Kievit" w:hAnsi="Kievit" w:cs="Gill Sans"/>
          <w:noProof/>
          <w:sz w:val="12"/>
          <w:szCs w:val="18"/>
          <w:lang w:val="en-US"/>
        </w:rPr>
      </w:pPr>
      <w:r w:rsidRPr="00A61385">
        <w:rPr>
          <w:rFonts w:ascii="Open Sans" w:eastAsia="Tahoma" w:hAnsi="Open Sans" w:cs="Tahoma"/>
          <w:b/>
          <w:bCs/>
          <w:sz w:val="24"/>
          <w:szCs w:val="20"/>
          <w:lang w:val="en-US"/>
        </w:rPr>
        <w:t>Reinvent the classic cocktail with the “Exquisite Cadaver”</w:t>
      </w:r>
    </w:p>
    <w:p w14:paraId="7397FF65" w14:textId="77777777" w:rsidR="00D86431" w:rsidRPr="00F33234" w:rsidRDefault="00D86431" w:rsidP="00D86431">
      <w:pPr>
        <w:spacing w:after="0"/>
        <w:rPr>
          <w:rFonts w:ascii="Kievit" w:hAnsi="Kievit" w:cs="Tahoma"/>
          <w:szCs w:val="20"/>
          <w:lang w:val="en-US"/>
        </w:rPr>
      </w:pPr>
      <w:r>
        <w:rPr>
          <w:rFonts w:ascii="KIEVIT-EXTRABOLDITALIC" w:hAnsi="KIEVIT-EXTRABOLDITALIC" w:cs="Gill Sans Light"/>
          <w:b/>
          <w:noProof/>
          <w:sz w:val="20"/>
          <w:szCs w:val="20"/>
          <w:lang w:eastAsia="es-ES"/>
        </w:rPr>
        <mc:AlternateContent>
          <mc:Choice Requires="wps">
            <w:drawing>
              <wp:anchor distT="0" distB="0" distL="114300" distR="114300" simplePos="0" relativeHeight="251659264" behindDoc="0" locked="0" layoutInCell="1" allowOverlap="1" wp14:anchorId="292F130F" wp14:editId="4F2C8552">
                <wp:simplePos x="0" y="0"/>
                <wp:positionH relativeFrom="column">
                  <wp:posOffset>0</wp:posOffset>
                </wp:positionH>
                <wp:positionV relativeFrom="paragraph">
                  <wp:posOffset>124460</wp:posOffset>
                </wp:positionV>
                <wp:extent cx="488950" cy="635"/>
                <wp:effectExtent l="12700" t="10160" r="19050" b="27305"/>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9AD0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" strokecolor="#ff4b5b" strokeweight="1pt">
                <w10:wrap type="square"/>
              </v:line>
            </w:pict>
          </mc:Fallback>
        </mc:AlternateContent>
      </w:r>
      <w:r w:rsidRPr="00F33234">
        <w:rPr>
          <w:rFonts w:ascii="KIEVIT-EXTRABOLDITALIC" w:hAnsi="KIEVIT-EXTRABOLDITALIC" w:cs="Gill Sans Light"/>
          <w:b/>
          <w:noProof/>
          <w:sz w:val="20"/>
          <w:szCs w:val="20"/>
          <w:lang w:val="en-US"/>
        </w:rPr>
        <w:t>RESUMEN</w:t>
      </w:r>
      <w:r w:rsidRPr="00F33234">
        <w:rPr>
          <w:rFonts w:ascii="Kievit" w:hAnsi="Kievit" w:cs="Tahoma"/>
          <w:szCs w:val="20"/>
          <w:lang w:val="en-US"/>
        </w:rPr>
        <w:t xml:space="preserve"> </w:t>
      </w:r>
    </w:p>
    <w:p w14:paraId="3F694D78" w14:textId="77777777" w:rsidR="00A61385" w:rsidRDefault="00A61385" w:rsidP="00A61385">
      <w:pPr>
        <w:spacing w:after="0"/>
        <w:rPr>
          <w:rFonts w:ascii="Kievit" w:hAnsi="Kievit" w:cs="Tahoma"/>
          <w:szCs w:val="20"/>
          <w:lang w:val="en-US"/>
        </w:rPr>
      </w:pPr>
    </w:p>
    <w:p w14:paraId="5BAD1B00" w14:textId="759710B8"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Concept creation for the new brand, Easy Mixers, which elaborates cocktail bases and pre-mixers to make cocktail-making easy, and its transfer to the packaging.</w:t>
      </w:r>
    </w:p>
    <w:p w14:paraId="1AF1C564" w14:textId="77777777" w:rsidR="00A61385" w:rsidRPr="00A61385" w:rsidRDefault="00A61385" w:rsidP="00A61385">
      <w:pPr>
        <w:spacing w:after="0"/>
        <w:rPr>
          <w:rFonts w:ascii="Kievit" w:hAnsi="Kievit" w:cs="Tahoma"/>
          <w:szCs w:val="20"/>
          <w:lang w:val="en-US"/>
        </w:rPr>
      </w:pPr>
    </w:p>
    <w:p w14:paraId="482E4081"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Its developers, leading references in the world of cocktails and mixology, wish to innovate with a disruptive product which professionalizes and standardizes the service, taking advantage of growth and new trends in the sector.</w:t>
      </w:r>
    </w:p>
    <w:p w14:paraId="316D7107" w14:textId="77777777" w:rsidR="00A61385" w:rsidRPr="00A61385" w:rsidRDefault="00A61385" w:rsidP="00A61385">
      <w:pPr>
        <w:spacing w:after="0"/>
        <w:rPr>
          <w:rFonts w:ascii="Kievit" w:hAnsi="Kievit" w:cs="Tahoma"/>
          <w:szCs w:val="20"/>
          <w:lang w:val="en-US"/>
        </w:rPr>
      </w:pPr>
    </w:p>
    <w:p w14:paraId="4E95DD0E"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To be identified at the point of sale, for the product to have an educational nature, as there is nothing of its kind on the market, and to have to instruct on its use.</w:t>
      </w:r>
    </w:p>
    <w:p w14:paraId="664E2ECF" w14:textId="77777777" w:rsidR="00A61385" w:rsidRPr="00A61385" w:rsidRDefault="00A61385" w:rsidP="00A61385">
      <w:pPr>
        <w:spacing w:after="0"/>
        <w:rPr>
          <w:rFonts w:ascii="Kievit" w:hAnsi="Kievit" w:cs="Tahoma"/>
          <w:szCs w:val="20"/>
          <w:lang w:val="en-US"/>
        </w:rPr>
      </w:pPr>
    </w:p>
    <w:p w14:paraId="6066BB66"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TSMGO’s involvement has achieved in transferring this philosophy to a brand identity and a brand strategy, allowing Easy-Mixers to exploit its full potential. Easy-Mixers is an approving nod at the origins of the cocktail, a way to revisit a love for classic cocktail.</w:t>
      </w:r>
    </w:p>
    <w:p w14:paraId="11894475"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STRATEGY</w:t>
      </w:r>
    </w:p>
    <w:p w14:paraId="5A140A5A"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To introduce a new product in an innovative way and in tune with the values of the cocktail as a mixture and combination of various elements in order to make a new one.</w:t>
      </w:r>
    </w:p>
    <w:p w14:paraId="4DDE1455"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To reinforce brand values through packaging: simplicity, comfort and sophistication.</w:t>
      </w:r>
    </w:p>
    <w:p w14:paraId="5BBEE176"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To underpin the recommendation of 2/3 service through graphic design, learning and education: to instruct and educate the buyer.</w:t>
      </w:r>
    </w:p>
    <w:p w14:paraId="44DC4AE0"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To convey the Premium positioning of this development through its packaging.</w:t>
      </w:r>
    </w:p>
    <w:p w14:paraId="52315980"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To engage the consumer with attractive packaging which invites them to try new taste sensations.</w:t>
      </w:r>
    </w:p>
    <w:p w14:paraId="4A437371"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STORYTELLING</w:t>
      </w:r>
    </w:p>
    <w:p w14:paraId="18B09E21"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We turn to the beginnings of cocktail-making, linked to digestive medicinal concoctions which helped to balance overindulgence, heavily associated with pharmacists and healing properties. From this “medicinal” facet, we incorporate a pharmaceutical presentation through the bottle.</w:t>
      </w:r>
    </w:p>
    <w:p w14:paraId="4AAF16ED" w14:textId="77777777" w:rsidR="00A61385" w:rsidRPr="00A61385" w:rsidRDefault="00A61385" w:rsidP="00A61385">
      <w:pPr>
        <w:spacing w:after="0"/>
        <w:rPr>
          <w:rFonts w:ascii="Kievit" w:hAnsi="Kievit" w:cs="Tahoma"/>
          <w:szCs w:val="20"/>
          <w:lang w:val="en-US"/>
        </w:rPr>
      </w:pPr>
    </w:p>
    <w:p w14:paraId="3A0F721E"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 xml:space="preserve">During the 1920s, due to Prohibition in the USA, a time of peak clandestine fabrication, cocktail-making developed to camouflage the alcoholic </w:t>
      </w:r>
      <w:proofErr w:type="spellStart"/>
      <w:r w:rsidRPr="00A61385">
        <w:rPr>
          <w:rFonts w:ascii="Kievit" w:hAnsi="Kievit" w:cs="Tahoma"/>
          <w:szCs w:val="20"/>
          <w:lang w:val="en-US"/>
        </w:rPr>
        <w:t>flavour</w:t>
      </w:r>
      <w:proofErr w:type="spellEnd"/>
      <w:r w:rsidRPr="00A61385">
        <w:rPr>
          <w:rFonts w:ascii="Kievit" w:hAnsi="Kievit" w:cs="Tahoma"/>
          <w:szCs w:val="20"/>
          <w:lang w:val="en-US"/>
        </w:rPr>
        <w:t xml:space="preserve"> of </w:t>
      </w:r>
      <w:proofErr w:type="spellStart"/>
      <w:r w:rsidRPr="00A61385">
        <w:rPr>
          <w:rFonts w:ascii="Kievit" w:hAnsi="Kievit" w:cs="Tahoma"/>
          <w:szCs w:val="20"/>
          <w:lang w:val="en-US"/>
        </w:rPr>
        <w:t>destillates</w:t>
      </w:r>
      <w:proofErr w:type="spellEnd"/>
      <w:r w:rsidRPr="00A61385">
        <w:rPr>
          <w:rFonts w:ascii="Kievit" w:hAnsi="Kievit" w:cs="Tahoma"/>
          <w:szCs w:val="20"/>
          <w:lang w:val="en-US"/>
        </w:rPr>
        <w:t>, a fact which allows us to take advantage of the aesthetics of the time.</w:t>
      </w:r>
    </w:p>
    <w:p w14:paraId="7D99B193" w14:textId="77777777" w:rsidR="00A61385" w:rsidRPr="00A61385" w:rsidRDefault="00A61385" w:rsidP="00A61385">
      <w:pPr>
        <w:spacing w:after="0"/>
        <w:rPr>
          <w:rFonts w:ascii="Kievit" w:hAnsi="Kievit" w:cs="Tahoma"/>
          <w:szCs w:val="20"/>
          <w:lang w:val="en-US"/>
        </w:rPr>
      </w:pPr>
    </w:p>
    <w:p w14:paraId="0C3E5BF3"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 xml:space="preserve">Meanwhile, in the Old World, the Europe of 1925, a group of dreamers (the surrealists) recovered an old game they had once used to create new images easily. A drawing was started, with the paper then folded was continued by someone else, who had no idea of what the previous person had drawn, which ended up producing surprising results. This technique was called </w:t>
      </w:r>
      <w:proofErr w:type="spellStart"/>
      <w:r w:rsidRPr="00A61385">
        <w:rPr>
          <w:rFonts w:ascii="Kievit" w:hAnsi="Kievit" w:cs="Tahoma"/>
          <w:szCs w:val="20"/>
          <w:lang w:val="en-US"/>
        </w:rPr>
        <w:t>cadavre</w:t>
      </w:r>
      <w:proofErr w:type="spellEnd"/>
      <w:r w:rsidRPr="00A61385">
        <w:rPr>
          <w:rFonts w:ascii="Kievit" w:hAnsi="Kievit" w:cs="Tahoma"/>
          <w:szCs w:val="20"/>
          <w:lang w:val="en-US"/>
        </w:rPr>
        <w:t xml:space="preserve"> </w:t>
      </w:r>
      <w:proofErr w:type="spellStart"/>
      <w:r w:rsidRPr="00A61385">
        <w:rPr>
          <w:rFonts w:ascii="Kievit" w:hAnsi="Kievit" w:cs="Tahoma"/>
          <w:szCs w:val="20"/>
          <w:lang w:val="en-US"/>
        </w:rPr>
        <w:t>exquis</w:t>
      </w:r>
      <w:proofErr w:type="spellEnd"/>
      <w:r w:rsidRPr="00A61385">
        <w:rPr>
          <w:rFonts w:ascii="Kievit" w:hAnsi="Kievit" w:cs="Tahoma"/>
          <w:szCs w:val="20"/>
          <w:lang w:val="en-US"/>
        </w:rPr>
        <w:t xml:space="preserve"> - “exquisite cadaver”. We included this technique in the visual narrative of the project.</w:t>
      </w:r>
    </w:p>
    <w:p w14:paraId="4F5A4361" w14:textId="77777777" w:rsidR="00A61385" w:rsidRPr="00A61385" w:rsidRDefault="00A61385" w:rsidP="00A61385">
      <w:pPr>
        <w:spacing w:after="0"/>
        <w:rPr>
          <w:rFonts w:ascii="Kievit" w:hAnsi="Kievit" w:cs="Tahoma"/>
          <w:szCs w:val="20"/>
          <w:lang w:val="en-US"/>
        </w:rPr>
      </w:pPr>
    </w:p>
    <w:p w14:paraId="54D7D2BA"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This way, our own particular Easy-Mixers pharmacist/alchemist starts a cocktail which will then be finished by a barman, wherever they may be found in the world, in the simplest of ways.</w:t>
      </w:r>
    </w:p>
    <w:p w14:paraId="76BC1863" w14:textId="77777777" w:rsidR="00A61385" w:rsidRPr="00A61385" w:rsidRDefault="00A61385" w:rsidP="00A61385">
      <w:pPr>
        <w:spacing w:after="0"/>
        <w:rPr>
          <w:rFonts w:ascii="Kievit" w:hAnsi="Kievit" w:cs="Tahoma"/>
          <w:szCs w:val="20"/>
          <w:lang w:val="en-US"/>
        </w:rPr>
      </w:pPr>
    </w:p>
    <w:p w14:paraId="2900809B"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The divine 2/3 rule</w:t>
      </w:r>
    </w:p>
    <w:p w14:paraId="135290DB" w14:textId="77777777" w:rsidR="00A61385" w:rsidRPr="00A61385" w:rsidRDefault="00A61385" w:rsidP="00A61385">
      <w:pPr>
        <w:spacing w:after="0"/>
        <w:rPr>
          <w:rFonts w:ascii="Kievit" w:hAnsi="Kievit" w:cs="Tahoma"/>
          <w:szCs w:val="20"/>
          <w:lang w:val="en-US"/>
        </w:rPr>
      </w:pPr>
    </w:p>
    <w:p w14:paraId="618BCD2A"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 xml:space="preserve">We </w:t>
      </w:r>
      <w:proofErr w:type="spellStart"/>
      <w:r w:rsidRPr="00A61385">
        <w:rPr>
          <w:rFonts w:ascii="Kievit" w:hAnsi="Kievit" w:cs="Tahoma"/>
          <w:szCs w:val="20"/>
          <w:lang w:val="en-US"/>
        </w:rPr>
        <w:t>favour</w:t>
      </w:r>
      <w:proofErr w:type="spellEnd"/>
      <w:r w:rsidRPr="00A61385">
        <w:rPr>
          <w:rFonts w:ascii="Kievit" w:hAnsi="Kievit" w:cs="Tahoma"/>
          <w:szCs w:val="20"/>
          <w:lang w:val="en-US"/>
        </w:rPr>
        <w:t xml:space="preserve"> applying the divine 2/3 rule (essential in cocktail-making): two units of pre-mix (non-alcoholic elements) plus one of alcohol. Faithful to this rule, with Easy-Mixers we go a step further and we make it our (educational) seal.</w:t>
      </w:r>
    </w:p>
    <w:p w14:paraId="4B4AB985" w14:textId="77777777" w:rsidR="00A61385" w:rsidRPr="00A61385" w:rsidRDefault="00A61385" w:rsidP="00A61385">
      <w:pPr>
        <w:spacing w:after="0"/>
        <w:rPr>
          <w:rFonts w:ascii="Kievit" w:hAnsi="Kievit" w:cs="Tahoma"/>
          <w:szCs w:val="20"/>
          <w:lang w:val="en-US"/>
        </w:rPr>
      </w:pPr>
    </w:p>
    <w:p w14:paraId="0CBC076D"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GRAPHIC SOLUTION</w:t>
      </w:r>
    </w:p>
    <w:p w14:paraId="2475877D"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The label comprises three strips distinguished by different technical treatments, which reinforce the idea of fractions of which the “divine 2/3 rule” speaks, and confers a Premium appearance to the ensemble.</w:t>
      </w:r>
    </w:p>
    <w:p w14:paraId="4BDB844D" w14:textId="77777777" w:rsidR="00A61385" w:rsidRPr="00A61385" w:rsidRDefault="00A61385" w:rsidP="00A61385">
      <w:pPr>
        <w:spacing w:after="0"/>
        <w:rPr>
          <w:rFonts w:ascii="Kievit" w:hAnsi="Kievit" w:cs="Tahoma"/>
          <w:szCs w:val="20"/>
          <w:lang w:val="en-US"/>
        </w:rPr>
      </w:pPr>
    </w:p>
    <w:p w14:paraId="3F6F5929"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Each of these strips incorporates a different illustration, which, once put together in the same way as the exquisite cadaver technique, make up a new figure with a unique personality, linked to one of the Easy-Mixers varieties. This collective work is implemented to perfection with product storytelling up to its final elaboration.</w:t>
      </w:r>
    </w:p>
    <w:p w14:paraId="2DBC55E8" w14:textId="77777777" w:rsidR="00A61385" w:rsidRPr="00A61385" w:rsidRDefault="00A61385" w:rsidP="00A61385">
      <w:pPr>
        <w:spacing w:after="0"/>
        <w:rPr>
          <w:rFonts w:ascii="Kievit" w:hAnsi="Kievit" w:cs="Tahoma"/>
          <w:szCs w:val="20"/>
          <w:lang w:val="en-US"/>
        </w:rPr>
      </w:pPr>
    </w:p>
    <w:p w14:paraId="2D388138"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 xml:space="preserve">Finally, the use of natural paper and the choice of typographic palette with a marked American </w:t>
      </w:r>
      <w:proofErr w:type="spellStart"/>
      <w:r w:rsidRPr="00A61385">
        <w:rPr>
          <w:rFonts w:ascii="Kievit" w:hAnsi="Kievit" w:cs="Tahoma"/>
          <w:szCs w:val="20"/>
          <w:lang w:val="en-US"/>
        </w:rPr>
        <w:t>flavour</w:t>
      </w:r>
      <w:proofErr w:type="spellEnd"/>
      <w:r w:rsidRPr="00A61385">
        <w:rPr>
          <w:rFonts w:ascii="Kievit" w:hAnsi="Kievit" w:cs="Tahoma"/>
          <w:szCs w:val="20"/>
          <w:lang w:val="en-US"/>
        </w:rPr>
        <w:t>, providing the packaging with an unmistakably exclusive appearance.</w:t>
      </w:r>
    </w:p>
    <w:p w14:paraId="6BC2164F" w14:textId="77777777" w:rsidR="00A61385" w:rsidRPr="00A61385" w:rsidRDefault="00A61385" w:rsidP="00A61385">
      <w:pPr>
        <w:spacing w:after="0"/>
        <w:rPr>
          <w:rFonts w:ascii="Kievit" w:hAnsi="Kievit" w:cs="Tahoma"/>
          <w:szCs w:val="20"/>
          <w:lang w:val="en-US"/>
        </w:rPr>
      </w:pPr>
    </w:p>
    <w:p w14:paraId="0FDED428"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It has been launched to the market with two product ranges:</w:t>
      </w:r>
    </w:p>
    <w:p w14:paraId="727DB4F5" w14:textId="77777777" w:rsidR="00A61385" w:rsidRPr="00A61385" w:rsidRDefault="00A61385" w:rsidP="00A61385">
      <w:pPr>
        <w:spacing w:after="0"/>
        <w:rPr>
          <w:rFonts w:ascii="Kievit" w:hAnsi="Kievit" w:cs="Tahoma"/>
          <w:szCs w:val="20"/>
          <w:lang w:val="en-US"/>
        </w:rPr>
      </w:pPr>
    </w:p>
    <w:p w14:paraId="5B93FE35" w14:textId="77777777" w:rsidR="00A61385" w:rsidRPr="00A61385" w:rsidRDefault="00A61385" w:rsidP="00A61385">
      <w:pPr>
        <w:spacing w:after="0"/>
        <w:rPr>
          <w:rFonts w:ascii="Kievit" w:hAnsi="Kievit" w:cs="Tahoma"/>
          <w:szCs w:val="20"/>
          <w:lang w:val="en-US"/>
        </w:rPr>
      </w:pPr>
      <w:proofErr w:type="spellStart"/>
      <w:r w:rsidRPr="00A61385">
        <w:rPr>
          <w:rFonts w:ascii="Kievit" w:hAnsi="Kievit" w:cs="Tahoma"/>
          <w:szCs w:val="20"/>
          <w:lang w:val="en-US"/>
        </w:rPr>
        <w:t>Eightsential</w:t>
      </w:r>
      <w:proofErr w:type="spellEnd"/>
      <w:r w:rsidRPr="00A61385">
        <w:rPr>
          <w:rFonts w:ascii="Kievit" w:hAnsi="Kievit" w:cs="Tahoma"/>
          <w:szCs w:val="20"/>
          <w:lang w:val="en-US"/>
        </w:rPr>
        <w:t xml:space="preserve">: 8 </w:t>
      </w:r>
      <w:proofErr w:type="spellStart"/>
      <w:r w:rsidRPr="00A61385">
        <w:rPr>
          <w:rFonts w:ascii="Kievit" w:hAnsi="Kievit" w:cs="Tahoma"/>
          <w:szCs w:val="20"/>
          <w:lang w:val="en-US"/>
        </w:rPr>
        <w:t>premixers</w:t>
      </w:r>
      <w:proofErr w:type="spellEnd"/>
      <w:r w:rsidRPr="00A61385">
        <w:rPr>
          <w:rFonts w:ascii="Kievit" w:hAnsi="Kievit" w:cs="Tahoma"/>
          <w:szCs w:val="20"/>
          <w:lang w:val="en-US"/>
        </w:rPr>
        <w:t xml:space="preserve"> essential for cocktails.</w:t>
      </w:r>
    </w:p>
    <w:p w14:paraId="578C23F9"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 xml:space="preserve">Alchemist Edition: A special series of </w:t>
      </w:r>
      <w:proofErr w:type="spellStart"/>
      <w:r w:rsidRPr="00A61385">
        <w:rPr>
          <w:rFonts w:ascii="Kievit" w:hAnsi="Kievit" w:cs="Tahoma"/>
          <w:szCs w:val="20"/>
          <w:lang w:val="en-US"/>
        </w:rPr>
        <w:t>premixers</w:t>
      </w:r>
      <w:proofErr w:type="spellEnd"/>
      <w:r w:rsidRPr="00A61385">
        <w:rPr>
          <w:rFonts w:ascii="Kievit" w:hAnsi="Kievit" w:cs="Tahoma"/>
          <w:szCs w:val="20"/>
          <w:lang w:val="en-US"/>
        </w:rPr>
        <w:t xml:space="preserve"> for exclusive clients with a more premium treatment.</w:t>
      </w:r>
    </w:p>
    <w:p w14:paraId="364CF6CD" w14:textId="77777777" w:rsidR="00A61385" w:rsidRPr="00A61385" w:rsidRDefault="00A61385" w:rsidP="00A61385">
      <w:pPr>
        <w:spacing w:after="0"/>
        <w:rPr>
          <w:rFonts w:ascii="Kievit" w:hAnsi="Kievit" w:cs="Tahoma"/>
          <w:szCs w:val="20"/>
          <w:lang w:val="en-US"/>
        </w:rPr>
      </w:pPr>
      <w:r w:rsidRPr="00A61385">
        <w:rPr>
          <w:rFonts w:ascii="Kievit" w:hAnsi="Kievit" w:cs="Tahoma"/>
          <w:szCs w:val="20"/>
          <w:lang w:val="en-US"/>
        </w:rPr>
        <w:t>CONCLUSION</w:t>
      </w:r>
    </w:p>
    <w:p w14:paraId="58C5D6F3" w14:textId="41A4ED2A" w:rsidR="008058AF" w:rsidRPr="00E310EC" w:rsidRDefault="00A61385" w:rsidP="00A61385">
      <w:pPr>
        <w:spacing w:after="0"/>
        <w:rPr>
          <w:rFonts w:ascii="Open Sans" w:hAnsi="Open Sans" w:cs="Open Sans"/>
          <w:noProof/>
          <w:sz w:val="20"/>
          <w:szCs w:val="20"/>
          <w:lang w:val="en-US"/>
        </w:rPr>
      </w:pPr>
      <w:r w:rsidRPr="00A61385">
        <w:rPr>
          <w:rFonts w:ascii="Kievit" w:hAnsi="Kievit" w:cs="Tahoma"/>
          <w:szCs w:val="20"/>
          <w:lang w:val="en-US"/>
        </w:rPr>
        <w:t>We take the idea of the exquisite cadaver as a simile and metaphor of what a cocktail really is: a simple combination of elements for enjoyment.</w:t>
      </w:r>
    </w:p>
    <w:sectPr w:rsidR="008058AF" w:rsidRPr="00E31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Kievit">
    <w:altName w:val="﷽﷽﷽﷽﷽﷽﷽﷽"/>
    <w:panose1 w:val="02000603040000020004"/>
    <w:charset w:val="00"/>
    <w:family w:val="auto"/>
    <w:pitch w:val="variable"/>
    <w:sig w:usb0="00000003" w:usb1="00000000" w:usb2="00000000" w:usb3="00000000" w:csb0="00000001" w:csb1="00000000"/>
  </w:font>
  <w:font w:name="Gill Sans">
    <w:altName w:val="﷽﷽﷽﷽﷽﷽﷽﷽s"/>
    <w:panose1 w:val="020B0502020104020203"/>
    <w:charset w:val="00"/>
    <w:family w:val="auto"/>
    <w:pitch w:val="variable"/>
    <w:sig w:usb0="80000267" w:usb1="00000000" w:usb2="00000000" w:usb3="00000000" w:csb0="000001F7" w:csb1="00000000"/>
  </w:font>
  <w:font w:name="KIEVIT-EXTRABOLDITALIC">
    <w:altName w:val="Calibri"/>
    <w:panose1 w:val="02000603050000090004"/>
    <w:charset w:val="00"/>
    <w:family w:val="auto"/>
    <w:pitch w:val="variable"/>
    <w:sig w:usb0="00000003" w:usb1="00000000" w:usb2="00000000" w:usb3="00000000" w:csb0="00000001" w:csb1="00000000"/>
  </w:font>
  <w:font w:name="Gill Sans Light">
    <w:altName w:val="﷽﷽﷽﷽﷽﷽﷽﷽s Light"/>
    <w:panose1 w:val="020B0302020104020203"/>
    <w:charset w:val="00"/>
    <w:family w:val="auto"/>
    <w:pitch w:val="variable"/>
    <w:sig w:usb0="80000267" w:usb1="00000000" w:usb2="00000000" w:usb3="00000000" w:csb0="000001F7"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B15"/>
    <w:multiLevelType w:val="hybridMultilevel"/>
    <w:tmpl w:val="38463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316D3"/>
    <w:multiLevelType w:val="hybridMultilevel"/>
    <w:tmpl w:val="35D0B7A4"/>
    <w:lvl w:ilvl="0" w:tplc="50F2A4C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CF435A"/>
    <w:multiLevelType w:val="hybridMultilevel"/>
    <w:tmpl w:val="84705446"/>
    <w:lvl w:ilvl="0" w:tplc="286AB8E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41416"/>
    <w:multiLevelType w:val="hybridMultilevel"/>
    <w:tmpl w:val="ADEE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B56B3"/>
    <w:multiLevelType w:val="hybridMultilevel"/>
    <w:tmpl w:val="C634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3A247C"/>
    <w:multiLevelType w:val="hybridMultilevel"/>
    <w:tmpl w:val="B36E0F9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15:restartNumberingAfterBreak="0">
    <w:nsid w:val="56A427D1"/>
    <w:multiLevelType w:val="hybridMultilevel"/>
    <w:tmpl w:val="82B835E6"/>
    <w:lvl w:ilvl="0" w:tplc="7214EAA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77E8D"/>
    <w:multiLevelType w:val="hybridMultilevel"/>
    <w:tmpl w:val="54641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9550150">
    <w:abstractNumId w:val="6"/>
  </w:num>
  <w:num w:numId="2" w16cid:durableId="660696867">
    <w:abstractNumId w:val="2"/>
  </w:num>
  <w:num w:numId="3" w16cid:durableId="1737047369">
    <w:abstractNumId w:val="1"/>
  </w:num>
  <w:num w:numId="4" w16cid:durableId="1856310804">
    <w:abstractNumId w:val="7"/>
  </w:num>
  <w:num w:numId="5" w16cid:durableId="1594163294">
    <w:abstractNumId w:val="5"/>
  </w:num>
  <w:num w:numId="6" w16cid:durableId="1544899830">
    <w:abstractNumId w:val="3"/>
  </w:num>
  <w:num w:numId="7" w16cid:durableId="1716807227">
    <w:abstractNumId w:val="0"/>
  </w:num>
  <w:num w:numId="8" w16cid:durableId="1712219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32"/>
    <w:rsid w:val="000149D8"/>
    <w:rsid w:val="00045046"/>
    <w:rsid w:val="000526B5"/>
    <w:rsid w:val="000571C1"/>
    <w:rsid w:val="00061132"/>
    <w:rsid w:val="000739BA"/>
    <w:rsid w:val="000C2095"/>
    <w:rsid w:val="000C5820"/>
    <w:rsid w:val="000F3618"/>
    <w:rsid w:val="000F4200"/>
    <w:rsid w:val="00112E9D"/>
    <w:rsid w:val="00140090"/>
    <w:rsid w:val="001521CF"/>
    <w:rsid w:val="00171B8D"/>
    <w:rsid w:val="001767DF"/>
    <w:rsid w:val="001B74FB"/>
    <w:rsid w:val="001C1CAA"/>
    <w:rsid w:val="001C3891"/>
    <w:rsid w:val="001C49D5"/>
    <w:rsid w:val="001C7F78"/>
    <w:rsid w:val="001E10A3"/>
    <w:rsid w:val="002176E2"/>
    <w:rsid w:val="00241CAC"/>
    <w:rsid w:val="00262E24"/>
    <w:rsid w:val="002773FB"/>
    <w:rsid w:val="002909D2"/>
    <w:rsid w:val="0029612C"/>
    <w:rsid w:val="002B6866"/>
    <w:rsid w:val="00390067"/>
    <w:rsid w:val="003B0DAF"/>
    <w:rsid w:val="003C4F1C"/>
    <w:rsid w:val="003D3813"/>
    <w:rsid w:val="00455339"/>
    <w:rsid w:val="00455B49"/>
    <w:rsid w:val="00465B6C"/>
    <w:rsid w:val="004B1F01"/>
    <w:rsid w:val="004B7B7E"/>
    <w:rsid w:val="004C31BE"/>
    <w:rsid w:val="004D6F97"/>
    <w:rsid w:val="004E76A3"/>
    <w:rsid w:val="004F5773"/>
    <w:rsid w:val="00537C23"/>
    <w:rsid w:val="00547C29"/>
    <w:rsid w:val="00554407"/>
    <w:rsid w:val="005802C2"/>
    <w:rsid w:val="00582914"/>
    <w:rsid w:val="005C4CB9"/>
    <w:rsid w:val="005E14DD"/>
    <w:rsid w:val="00632BFE"/>
    <w:rsid w:val="006578AB"/>
    <w:rsid w:val="006A1827"/>
    <w:rsid w:val="006B298C"/>
    <w:rsid w:val="006B6A87"/>
    <w:rsid w:val="006C658E"/>
    <w:rsid w:val="007002CF"/>
    <w:rsid w:val="00715D1C"/>
    <w:rsid w:val="007438C5"/>
    <w:rsid w:val="00765F0A"/>
    <w:rsid w:val="00770430"/>
    <w:rsid w:val="0078363F"/>
    <w:rsid w:val="00783CB2"/>
    <w:rsid w:val="007B0A2C"/>
    <w:rsid w:val="007B48E4"/>
    <w:rsid w:val="007F4AA0"/>
    <w:rsid w:val="008058AF"/>
    <w:rsid w:val="008571BD"/>
    <w:rsid w:val="008B2FAC"/>
    <w:rsid w:val="008C7132"/>
    <w:rsid w:val="009060B6"/>
    <w:rsid w:val="00917CC7"/>
    <w:rsid w:val="009E5CBA"/>
    <w:rsid w:val="009F4F1F"/>
    <w:rsid w:val="00A61385"/>
    <w:rsid w:val="00A66B4F"/>
    <w:rsid w:val="00AA22F5"/>
    <w:rsid w:val="00B45577"/>
    <w:rsid w:val="00B70696"/>
    <w:rsid w:val="00B75E21"/>
    <w:rsid w:val="00BA7C42"/>
    <w:rsid w:val="00BB5DEC"/>
    <w:rsid w:val="00BC5B55"/>
    <w:rsid w:val="00BF5983"/>
    <w:rsid w:val="00C03224"/>
    <w:rsid w:val="00C14291"/>
    <w:rsid w:val="00C35DF5"/>
    <w:rsid w:val="00C40FFE"/>
    <w:rsid w:val="00C46231"/>
    <w:rsid w:val="00C6406D"/>
    <w:rsid w:val="00C7015C"/>
    <w:rsid w:val="00C75981"/>
    <w:rsid w:val="00C9053B"/>
    <w:rsid w:val="00CB44BA"/>
    <w:rsid w:val="00CB55F8"/>
    <w:rsid w:val="00CB575C"/>
    <w:rsid w:val="00CC21CE"/>
    <w:rsid w:val="00CC440D"/>
    <w:rsid w:val="00CC68E7"/>
    <w:rsid w:val="00CD29AC"/>
    <w:rsid w:val="00CF7E32"/>
    <w:rsid w:val="00D01C1C"/>
    <w:rsid w:val="00D135A6"/>
    <w:rsid w:val="00D501DF"/>
    <w:rsid w:val="00D86431"/>
    <w:rsid w:val="00DE3954"/>
    <w:rsid w:val="00DE4B68"/>
    <w:rsid w:val="00E025A5"/>
    <w:rsid w:val="00E143EA"/>
    <w:rsid w:val="00E310EC"/>
    <w:rsid w:val="00E56075"/>
    <w:rsid w:val="00E6560B"/>
    <w:rsid w:val="00E7778D"/>
    <w:rsid w:val="00E811DB"/>
    <w:rsid w:val="00E94261"/>
    <w:rsid w:val="00EA504D"/>
    <w:rsid w:val="00EC3029"/>
    <w:rsid w:val="00EE5172"/>
    <w:rsid w:val="00F21151"/>
    <w:rsid w:val="00F21BE9"/>
    <w:rsid w:val="00F22AD3"/>
    <w:rsid w:val="00F33234"/>
    <w:rsid w:val="00F42C57"/>
    <w:rsid w:val="00F73E86"/>
    <w:rsid w:val="00F7581A"/>
    <w:rsid w:val="00F810EB"/>
    <w:rsid w:val="00FB08D7"/>
    <w:rsid w:val="00FB72E2"/>
    <w:rsid w:val="00FC466F"/>
    <w:rsid w:val="3CF35E50"/>
    <w:rsid w:val="757A7A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63A3"/>
  <w15:docId w15:val="{F6C548F5-ABE8-C947-A2EE-FA512A5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058AF"/>
    <w:rPr>
      <w:color w:val="0000FF"/>
      <w:u w:val="single"/>
    </w:rPr>
  </w:style>
  <w:style w:type="paragraph" w:customStyle="1" w:styleId="Standard">
    <w:name w:val="Standard"/>
    <w:rsid w:val="008058AF"/>
    <w:pPr>
      <w:suppressAutoHyphens/>
      <w:autoSpaceDN w:val="0"/>
    </w:pPr>
    <w:rPr>
      <w:rFonts w:ascii="Calibri" w:eastAsia="Calibri" w:hAnsi="Calibri" w:cs="Times New Roman"/>
      <w:kern w:val="3"/>
    </w:rPr>
  </w:style>
  <w:style w:type="paragraph" w:styleId="Prrafodelista">
    <w:name w:val="List Paragraph"/>
    <w:basedOn w:val="Normal"/>
    <w:uiPriority w:val="34"/>
    <w:qFormat/>
    <w:rsid w:val="0029612C"/>
    <w:pPr>
      <w:ind w:left="720"/>
      <w:contextualSpacing/>
    </w:pPr>
  </w:style>
  <w:style w:type="paragraph" w:styleId="NormalWeb">
    <w:name w:val="Normal (Web)"/>
    <w:basedOn w:val="Normal"/>
    <w:uiPriority w:val="99"/>
    <w:semiHidden/>
    <w:unhideWhenUsed/>
    <w:rsid w:val="00014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20885">
      <w:bodyDiv w:val="1"/>
      <w:marLeft w:val="0"/>
      <w:marRight w:val="0"/>
      <w:marTop w:val="0"/>
      <w:marBottom w:val="0"/>
      <w:divBdr>
        <w:top w:val="none" w:sz="0" w:space="0" w:color="auto"/>
        <w:left w:val="none" w:sz="0" w:space="0" w:color="auto"/>
        <w:bottom w:val="none" w:sz="0" w:space="0" w:color="auto"/>
        <w:right w:val="none" w:sz="0" w:space="0" w:color="auto"/>
      </w:divBdr>
    </w:div>
    <w:div w:id="1757556456">
      <w:bodyDiv w:val="1"/>
      <w:marLeft w:val="0"/>
      <w:marRight w:val="0"/>
      <w:marTop w:val="0"/>
      <w:marBottom w:val="0"/>
      <w:divBdr>
        <w:top w:val="none" w:sz="0" w:space="0" w:color="auto"/>
        <w:left w:val="none" w:sz="0" w:space="0" w:color="auto"/>
        <w:bottom w:val="none" w:sz="0" w:space="0" w:color="auto"/>
        <w:right w:val="none" w:sz="0" w:space="0" w:color="auto"/>
      </w:divBdr>
    </w:div>
    <w:div w:id="17891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2</cp:revision>
  <cp:lastPrinted>2016-09-14T12:02:00Z</cp:lastPrinted>
  <dcterms:created xsi:type="dcterms:W3CDTF">2022-10-24T17:54:00Z</dcterms:created>
  <dcterms:modified xsi:type="dcterms:W3CDTF">2022-10-24T17:54:00Z</dcterms:modified>
</cp:coreProperties>
</file>