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60DD" w14:textId="47BA1668" w:rsidR="00AC4185" w:rsidRPr="005A5555" w:rsidRDefault="001A5700" w:rsidP="005A5555">
      <w:pPr>
        <w:pStyle w:val="Heading2"/>
        <w:spacing w:after="40"/>
        <w:rPr>
          <w:rFonts w:ascii="Verdana" w:hAnsi="Verdana"/>
          <w:b/>
          <w:lang w:val="en-GB"/>
        </w:rPr>
      </w:pPr>
      <w:bookmarkStart w:id="0" w:name="_Toc525738837"/>
      <w:r w:rsidRPr="00941EEE">
        <w:rPr>
          <w:rFonts w:ascii="Verdana" w:hAnsi="Verdana"/>
          <w:b/>
          <w:lang w:val="en-GB"/>
        </w:rPr>
        <w:t>PHOENIX-IT</w:t>
      </w:r>
      <w:bookmarkEnd w:id="0"/>
    </w:p>
    <w:p w14:paraId="20614F0C" w14:textId="2CC3BB99" w:rsidR="001A5700" w:rsidRPr="00AD1887" w:rsidRDefault="001A5700" w:rsidP="001A5700">
      <w:pPr>
        <w:spacing w:after="0" w:line="240" w:lineRule="auto"/>
        <w:jc w:val="both"/>
        <w:rPr>
          <w:rFonts w:ascii="Verdana" w:hAnsi="Verdana"/>
          <w:lang w:val="en-GB"/>
        </w:rPr>
      </w:pPr>
      <w:r w:rsidRPr="00AD1887">
        <w:rPr>
          <w:rFonts w:ascii="Verdana" w:hAnsi="Verdana"/>
          <w:lang w:val="en-GB"/>
        </w:rPr>
        <w:t>We are a Romanian private company, with more than 14 years of experience in IT&amp;C. We started the activity in 2004 by delivering IT services in projects based on Microsoft technologies. Our first competencies where oriented towards business solution implementation such as: Dynamics NAV, Dynamics CRM, SharePoint Server and development of specialized ERP modules.</w:t>
      </w:r>
    </w:p>
    <w:p w14:paraId="502233F5" w14:textId="77777777" w:rsidR="001A5700" w:rsidRPr="00AD1887" w:rsidRDefault="001A5700" w:rsidP="001A5700">
      <w:pPr>
        <w:spacing w:after="0" w:line="240" w:lineRule="auto"/>
        <w:jc w:val="both"/>
        <w:rPr>
          <w:rFonts w:ascii="Verdana" w:hAnsi="Verdana"/>
          <w:lang w:val="en-GB"/>
        </w:rPr>
      </w:pPr>
    </w:p>
    <w:p w14:paraId="4B302B79" w14:textId="77777777" w:rsidR="001A5700" w:rsidRPr="00AD1887" w:rsidRDefault="001A5700" w:rsidP="001A5700">
      <w:pPr>
        <w:spacing w:line="240" w:lineRule="auto"/>
        <w:jc w:val="both"/>
        <w:rPr>
          <w:rFonts w:ascii="Verdana" w:hAnsi="Verdana"/>
          <w:lang w:val="en-GB"/>
        </w:rPr>
      </w:pPr>
      <w:r w:rsidRPr="00AD1887">
        <w:rPr>
          <w:rFonts w:ascii="Verdana" w:hAnsi="Verdana"/>
          <w:lang w:val="en-GB"/>
        </w:rPr>
        <w:t xml:space="preserve">Starting in 2012, the company has expanded its expertise through technology partnerships with international leaders in their areas, such as Intel, Fortinet, Oracle, Symantec, Bitdefender, Veritas, </w:t>
      </w:r>
      <w:proofErr w:type="spellStart"/>
      <w:r w:rsidRPr="00AD1887">
        <w:rPr>
          <w:rFonts w:ascii="Verdana" w:hAnsi="Verdana"/>
          <w:lang w:val="en-GB"/>
        </w:rPr>
        <w:t>Veeam</w:t>
      </w:r>
      <w:proofErr w:type="spellEnd"/>
      <w:r w:rsidRPr="00AD1887">
        <w:rPr>
          <w:rFonts w:ascii="Verdana" w:hAnsi="Verdana"/>
          <w:lang w:val="en-GB"/>
        </w:rPr>
        <w:t>, Cisco, Adobe, etc.</w:t>
      </w:r>
    </w:p>
    <w:p w14:paraId="1200A943" w14:textId="77777777" w:rsidR="001A5700" w:rsidRPr="00AD1887" w:rsidRDefault="001A5700" w:rsidP="001A5700">
      <w:pPr>
        <w:spacing w:after="0" w:line="240" w:lineRule="auto"/>
        <w:jc w:val="both"/>
        <w:rPr>
          <w:rFonts w:ascii="Verdana" w:hAnsi="Verdana"/>
          <w:lang w:val="en-GB"/>
        </w:rPr>
      </w:pPr>
      <w:r w:rsidRPr="00AD1887">
        <w:rPr>
          <w:rFonts w:ascii="Verdana" w:hAnsi="Verdana"/>
          <w:lang w:val="en-GB"/>
        </w:rPr>
        <w:t>All of these skills have enabled Phoenix to address increasingly complex projects and to simultaneously promote the company in the field of complex system integrators.</w:t>
      </w:r>
    </w:p>
    <w:p w14:paraId="3E6A1CD2" w14:textId="77777777" w:rsidR="001A5700" w:rsidRPr="00AD1887" w:rsidRDefault="001A5700" w:rsidP="001A5700">
      <w:pPr>
        <w:spacing w:after="0" w:line="240" w:lineRule="auto"/>
        <w:jc w:val="both"/>
        <w:rPr>
          <w:rFonts w:ascii="Verdana" w:hAnsi="Verdana"/>
          <w:sz w:val="24"/>
          <w:szCs w:val="24"/>
          <w:lang w:val="en-GB"/>
        </w:rPr>
      </w:pPr>
    </w:p>
    <w:p w14:paraId="4BCC18B8" w14:textId="3BA4410A" w:rsidR="001A5700" w:rsidRPr="005A5555" w:rsidRDefault="001A5700" w:rsidP="005A5555">
      <w:pPr>
        <w:pStyle w:val="Heading3"/>
        <w:spacing w:after="40"/>
        <w:rPr>
          <w:rFonts w:ascii="Verdana" w:hAnsi="Verdana"/>
          <w:b/>
          <w:lang w:val="en-GB"/>
        </w:rPr>
      </w:pPr>
      <w:bookmarkStart w:id="1" w:name="_Toc525522961"/>
      <w:bookmarkStart w:id="2" w:name="_Toc525738838"/>
      <w:r w:rsidRPr="00941EEE">
        <w:rPr>
          <w:rFonts w:ascii="Verdana" w:hAnsi="Verdana"/>
          <w:b/>
          <w:lang w:val="en-GB"/>
        </w:rPr>
        <w:t>Business Profile</w:t>
      </w:r>
      <w:bookmarkEnd w:id="1"/>
      <w:bookmarkEnd w:id="2"/>
    </w:p>
    <w:p w14:paraId="6FDD2175" w14:textId="77777777" w:rsidR="001A5700" w:rsidRPr="00AD1887" w:rsidRDefault="001A5700" w:rsidP="001A5700">
      <w:pPr>
        <w:spacing w:line="240" w:lineRule="auto"/>
        <w:jc w:val="both"/>
        <w:rPr>
          <w:rFonts w:ascii="Verdana" w:hAnsi="Verdana"/>
          <w:lang w:val="en-GB"/>
        </w:rPr>
      </w:pPr>
      <w:r w:rsidRPr="00AD1887">
        <w:rPr>
          <w:rFonts w:ascii="Verdana" w:hAnsi="Verdana"/>
          <w:lang w:val="en-GB"/>
        </w:rPr>
        <w:t>Our goal is to be a trusted partner by delivery performant software and infrastructure solutions and high-quality IT services. We tailor our solutions to fit the customer’s specific needs, business focus and preferences, by putting together all our business experience, project management skills and technical competences (consultants, developers, system engineers).</w:t>
      </w:r>
    </w:p>
    <w:p w14:paraId="115984CF" w14:textId="1EDCC9C4" w:rsidR="001A5700" w:rsidRPr="00AD1887" w:rsidRDefault="001A5700" w:rsidP="001A5700">
      <w:pPr>
        <w:spacing w:line="240" w:lineRule="auto"/>
        <w:jc w:val="both"/>
        <w:rPr>
          <w:rFonts w:ascii="Verdana" w:hAnsi="Verdana"/>
          <w:lang w:val="en-GB"/>
        </w:rPr>
      </w:pPr>
      <w:r w:rsidRPr="00AD1887">
        <w:rPr>
          <w:rFonts w:ascii="Verdana" w:hAnsi="Verdana"/>
          <w:lang w:val="en-GB"/>
        </w:rPr>
        <w:t xml:space="preserve">PHOENIX-IT has </w:t>
      </w:r>
      <w:r w:rsidR="004D6519">
        <w:rPr>
          <w:rFonts w:ascii="Verdana" w:hAnsi="Verdana"/>
          <w:lang w:val="en-GB"/>
        </w:rPr>
        <w:t>three</w:t>
      </w:r>
      <w:r w:rsidRPr="00AD1887">
        <w:rPr>
          <w:rFonts w:ascii="Verdana" w:hAnsi="Verdana"/>
          <w:lang w:val="en-GB"/>
        </w:rPr>
        <w:t xml:space="preserve"> strategic directions for development:   </w:t>
      </w:r>
    </w:p>
    <w:p w14:paraId="3248C40E" w14:textId="77777777" w:rsidR="001A5700" w:rsidRPr="00AD1887" w:rsidRDefault="001A5700" w:rsidP="001A5700">
      <w:pPr>
        <w:spacing w:after="0" w:line="240" w:lineRule="auto"/>
        <w:ind w:left="360"/>
        <w:jc w:val="both"/>
        <w:rPr>
          <w:rFonts w:ascii="Verdana" w:hAnsi="Verdana"/>
          <w:color w:val="002060"/>
          <w:lang w:val="en-GB"/>
        </w:rPr>
      </w:pPr>
      <w:r w:rsidRPr="00AD1887">
        <w:rPr>
          <w:rFonts w:ascii="Verdana" w:hAnsi="Verdana"/>
          <w:color w:val="002060"/>
          <w:u w:val="single"/>
          <w:lang w:val="en-GB"/>
        </w:rPr>
        <w:t>I. Solution Provider</w:t>
      </w:r>
      <w:r w:rsidRPr="00AD1887">
        <w:rPr>
          <w:rFonts w:ascii="Verdana" w:hAnsi="Verdana"/>
          <w:b/>
          <w:color w:val="002060"/>
          <w:lang w:val="en-GB"/>
        </w:rPr>
        <w:t xml:space="preserve"> </w:t>
      </w:r>
      <w:r w:rsidRPr="00AD1887">
        <w:rPr>
          <w:rFonts w:ascii="Verdana" w:hAnsi="Verdana"/>
          <w:lang w:val="en-GB"/>
        </w:rPr>
        <w:t xml:space="preserve">– </w:t>
      </w:r>
      <w:proofErr w:type="spellStart"/>
      <w:r w:rsidRPr="00AD1887">
        <w:rPr>
          <w:rFonts w:ascii="Verdana" w:hAnsi="Verdana"/>
          <w:lang w:val="en-GB"/>
        </w:rPr>
        <w:t>analyze</w:t>
      </w:r>
      <w:proofErr w:type="spellEnd"/>
      <w:r w:rsidRPr="00AD1887">
        <w:rPr>
          <w:rFonts w:ascii="Verdana" w:hAnsi="Verdana"/>
          <w:lang w:val="en-GB"/>
        </w:rPr>
        <w:t>, design, customization, development and implementation services for: Content and Collaboration Solutions, Unified Communications, Virtualization Solutions, IT Infrastructure Management, Business Applications, Volume Licensing solutions, Software Asset Management (SAM) and Cloud Solutions.</w:t>
      </w:r>
    </w:p>
    <w:p w14:paraId="2C96122C" w14:textId="757765E9" w:rsidR="001A5700" w:rsidRPr="00AD1887" w:rsidRDefault="001A5700" w:rsidP="001A5700">
      <w:pPr>
        <w:spacing w:before="240" w:line="240" w:lineRule="auto"/>
        <w:ind w:left="360"/>
        <w:jc w:val="both"/>
        <w:rPr>
          <w:rFonts w:ascii="Verdana" w:hAnsi="Verdana"/>
          <w:lang w:val="en-GB"/>
        </w:rPr>
      </w:pPr>
      <w:r w:rsidRPr="00AD1887">
        <w:rPr>
          <w:rFonts w:ascii="Verdana" w:hAnsi="Verdana"/>
          <w:color w:val="002060"/>
          <w:u w:val="single"/>
          <w:lang w:val="en-GB"/>
        </w:rPr>
        <w:t>II. Custom Software Development</w:t>
      </w:r>
      <w:r w:rsidRPr="00AD1887">
        <w:rPr>
          <w:rFonts w:ascii="Verdana" w:hAnsi="Verdana"/>
          <w:b/>
          <w:color w:val="002060"/>
          <w:lang w:val="en-GB"/>
        </w:rPr>
        <w:t xml:space="preserve"> </w:t>
      </w:r>
      <w:r w:rsidRPr="00AD1887">
        <w:rPr>
          <w:rFonts w:ascii="Verdana" w:hAnsi="Verdana"/>
          <w:lang w:val="en-GB"/>
        </w:rPr>
        <w:t>- Learning Management Solution, Case Management System</w:t>
      </w:r>
      <w:r w:rsidR="00820F16">
        <w:rPr>
          <w:rFonts w:ascii="Verdana" w:hAnsi="Verdana"/>
          <w:lang w:val="en-GB"/>
        </w:rPr>
        <w:t xml:space="preserve"> (</w:t>
      </w:r>
      <w:proofErr w:type="spellStart"/>
      <w:r w:rsidR="00820F16">
        <w:rPr>
          <w:rFonts w:ascii="Verdana" w:hAnsi="Verdana"/>
          <w:lang w:val="en-GB"/>
        </w:rPr>
        <w:t>Asigno</w:t>
      </w:r>
      <w:proofErr w:type="spellEnd"/>
      <w:r w:rsidR="00820F16">
        <w:rPr>
          <w:rFonts w:ascii="Verdana" w:hAnsi="Verdana"/>
          <w:lang w:val="en-GB"/>
        </w:rPr>
        <w:t>)</w:t>
      </w:r>
      <w:r w:rsidRPr="00AD1887">
        <w:rPr>
          <w:rFonts w:ascii="Verdana" w:hAnsi="Verdana"/>
          <w:lang w:val="en-GB"/>
        </w:rPr>
        <w:t>, Patient Management System, Document management, Citizen portal, Ticketing application, e-Commerce, Business Intelligence, etc.</w:t>
      </w:r>
    </w:p>
    <w:p w14:paraId="0300712C" w14:textId="2FA84C36" w:rsidR="005068A8" w:rsidRDefault="004D6519" w:rsidP="00941EEE">
      <w:pPr>
        <w:spacing w:line="240" w:lineRule="auto"/>
        <w:ind w:left="360"/>
        <w:jc w:val="both"/>
        <w:rPr>
          <w:rFonts w:ascii="Verdana" w:hAnsi="Verdana"/>
          <w:lang w:val="en-GB"/>
        </w:rPr>
      </w:pPr>
      <w:r>
        <w:rPr>
          <w:rFonts w:ascii="Verdana" w:hAnsi="Verdana"/>
          <w:color w:val="002060"/>
          <w:u w:val="single"/>
          <w:lang w:val="en-GB"/>
        </w:rPr>
        <w:t>III</w:t>
      </w:r>
      <w:r w:rsidR="005068A8">
        <w:rPr>
          <w:rFonts w:ascii="Verdana" w:hAnsi="Verdana"/>
          <w:color w:val="002060"/>
          <w:u w:val="single"/>
          <w:lang w:val="en-GB"/>
        </w:rPr>
        <w:t xml:space="preserve">. </w:t>
      </w:r>
      <w:proofErr w:type="spellStart"/>
      <w:r w:rsidR="005068A8">
        <w:rPr>
          <w:rFonts w:ascii="Verdana" w:hAnsi="Verdana"/>
          <w:color w:val="002060"/>
          <w:u w:val="single"/>
          <w:lang w:val="en-GB"/>
        </w:rPr>
        <w:t>Data</w:t>
      </w:r>
      <w:r w:rsidR="001A5700" w:rsidRPr="00AD1887">
        <w:rPr>
          <w:rFonts w:ascii="Verdana" w:hAnsi="Verdana"/>
          <w:color w:val="002060"/>
          <w:u w:val="single"/>
          <w:lang w:val="en-GB"/>
        </w:rPr>
        <w:t>center</w:t>
      </w:r>
      <w:proofErr w:type="spellEnd"/>
      <w:r w:rsidR="001A5700" w:rsidRPr="00AD1887">
        <w:rPr>
          <w:rFonts w:ascii="Verdana" w:hAnsi="Verdana"/>
          <w:b/>
          <w:color w:val="002060"/>
          <w:lang w:val="en-GB"/>
        </w:rPr>
        <w:t xml:space="preserve"> </w:t>
      </w:r>
      <w:r w:rsidR="001A5700" w:rsidRPr="00AD1887">
        <w:rPr>
          <w:rFonts w:ascii="Verdana" w:hAnsi="Verdana"/>
          <w:lang w:val="en-GB"/>
        </w:rPr>
        <w:t xml:space="preserve">- In 2014, PHOENIX IT initiated a project that aims to achieve a fully equipped DATA CENTER, which has been operational since 2015. </w:t>
      </w:r>
      <w:r w:rsidR="000F6F85">
        <w:rPr>
          <w:rFonts w:ascii="Verdana" w:hAnsi="Verdana"/>
          <w:lang w:val="en-GB"/>
        </w:rPr>
        <w:t xml:space="preserve">The </w:t>
      </w:r>
      <w:proofErr w:type="spellStart"/>
      <w:r w:rsidR="000F6F85">
        <w:rPr>
          <w:rFonts w:ascii="Verdana" w:hAnsi="Verdana"/>
          <w:lang w:val="en-GB"/>
        </w:rPr>
        <w:t>Datacenter</w:t>
      </w:r>
      <w:proofErr w:type="spellEnd"/>
      <w:r w:rsidR="000F6F85">
        <w:rPr>
          <w:rFonts w:ascii="Verdana" w:hAnsi="Verdana"/>
          <w:lang w:val="en-GB"/>
        </w:rPr>
        <w:t xml:space="preserve"> respects the international </w:t>
      </w:r>
      <w:proofErr w:type="spellStart"/>
      <w:r w:rsidR="000F6F85">
        <w:rPr>
          <w:rFonts w:ascii="Verdana" w:hAnsi="Verdana"/>
          <w:lang w:val="en-GB"/>
        </w:rPr>
        <w:t>datacenter’s</w:t>
      </w:r>
      <w:proofErr w:type="spellEnd"/>
      <w:r w:rsidR="000F6F85">
        <w:rPr>
          <w:rFonts w:ascii="Verdana" w:hAnsi="Verdana"/>
          <w:lang w:val="en-GB"/>
        </w:rPr>
        <w:t xml:space="preserve"> standard as TIA Tier 3, being </w:t>
      </w:r>
      <w:r w:rsidR="00941EEE">
        <w:rPr>
          <w:rFonts w:ascii="Verdana" w:hAnsi="Verdana"/>
          <w:lang w:val="en-GB"/>
        </w:rPr>
        <w:t>able to offer to customer high quality services as Infrastructure-as-a-Service (IaaS), Security-as-a-Service (</w:t>
      </w:r>
      <w:proofErr w:type="spellStart"/>
      <w:r w:rsidR="00941EEE">
        <w:rPr>
          <w:rFonts w:ascii="Verdana" w:hAnsi="Verdana"/>
          <w:lang w:val="en-GB"/>
        </w:rPr>
        <w:t>SecaaS</w:t>
      </w:r>
      <w:proofErr w:type="spellEnd"/>
      <w:r w:rsidR="00941EEE">
        <w:rPr>
          <w:rFonts w:ascii="Verdana" w:hAnsi="Verdana"/>
          <w:lang w:val="en-GB"/>
        </w:rPr>
        <w:t>), Software-as-a-Service (SaaS).</w:t>
      </w:r>
      <w:r w:rsidR="000F6F85">
        <w:rPr>
          <w:rFonts w:ascii="Verdana" w:hAnsi="Verdana"/>
          <w:lang w:val="en-GB"/>
        </w:rPr>
        <w:t xml:space="preserve"> </w:t>
      </w:r>
    </w:p>
    <w:p w14:paraId="03A264D0" w14:textId="0A1CEB62" w:rsidR="00941EEE" w:rsidRDefault="00941EEE" w:rsidP="00941EEE">
      <w:pPr>
        <w:spacing w:line="240" w:lineRule="auto"/>
        <w:ind w:left="360"/>
        <w:jc w:val="both"/>
        <w:rPr>
          <w:rFonts w:ascii="Verdana" w:hAnsi="Verdana"/>
          <w:lang w:val="en-GB"/>
        </w:rPr>
      </w:pPr>
    </w:p>
    <w:p w14:paraId="2FD3C4F9" w14:textId="4A8ADE4B" w:rsidR="00AC4185" w:rsidRDefault="00AC4185" w:rsidP="00445A05">
      <w:pPr>
        <w:spacing w:line="240" w:lineRule="auto"/>
        <w:jc w:val="both"/>
        <w:rPr>
          <w:rFonts w:ascii="Verdana" w:hAnsi="Verdana"/>
          <w:lang w:val="en-GB"/>
        </w:rPr>
      </w:pPr>
    </w:p>
    <w:p w14:paraId="4C7ECC98" w14:textId="77777777" w:rsidR="005A5555" w:rsidRPr="00941EEE" w:rsidRDefault="005A5555" w:rsidP="00445A05">
      <w:pPr>
        <w:spacing w:line="240" w:lineRule="auto"/>
        <w:jc w:val="both"/>
        <w:rPr>
          <w:rFonts w:ascii="Verdana" w:hAnsi="Verdana"/>
          <w:lang w:val="en-GB"/>
        </w:rPr>
      </w:pPr>
      <w:bookmarkStart w:id="3" w:name="_GoBack"/>
      <w:bookmarkEnd w:id="3"/>
    </w:p>
    <w:p w14:paraId="23495E11" w14:textId="4A74EEF8" w:rsidR="001A5700" w:rsidRPr="00941EEE" w:rsidRDefault="001A5700" w:rsidP="001A5700">
      <w:pPr>
        <w:rPr>
          <w:rFonts w:ascii="Verdana" w:hAnsi="Verdana"/>
          <w:b/>
          <w:lang w:val="en-GB"/>
        </w:rPr>
      </w:pPr>
      <w:r w:rsidRPr="00941EEE">
        <w:rPr>
          <w:rFonts w:ascii="Verdana" w:hAnsi="Verdana"/>
          <w:b/>
          <w:color w:val="1F3763" w:themeColor="accent1" w:themeShade="7F"/>
          <w:sz w:val="24"/>
          <w:szCs w:val="24"/>
          <w:lang w:val="en-GB"/>
        </w:rPr>
        <w:lastRenderedPageBreak/>
        <w:t>Customer References</w:t>
      </w:r>
    </w:p>
    <w:p w14:paraId="50AA67F9" w14:textId="2514D5C8" w:rsidR="001A5700" w:rsidRPr="00AD1887" w:rsidRDefault="001A5700" w:rsidP="001A5700">
      <w:pPr>
        <w:spacing w:after="0" w:line="240" w:lineRule="auto"/>
        <w:ind w:left="360"/>
        <w:jc w:val="both"/>
        <w:rPr>
          <w:rFonts w:ascii="Verdana" w:hAnsi="Verdana"/>
          <w:lang w:val="en-GB"/>
        </w:rPr>
      </w:pPr>
      <w:r w:rsidRPr="00F363E0">
        <w:rPr>
          <w:rFonts w:ascii="Verdana" w:hAnsi="Verdana"/>
          <w:b/>
          <w:color w:val="002060"/>
          <w:u w:val="single"/>
          <w:lang w:val="en-GB"/>
        </w:rPr>
        <w:t>Romanian Government</w:t>
      </w:r>
      <w:r w:rsidRPr="00AD1887">
        <w:rPr>
          <w:rFonts w:ascii="Verdana" w:hAnsi="Verdana"/>
          <w:b/>
          <w:color w:val="002060"/>
          <w:lang w:val="en-GB"/>
        </w:rPr>
        <w:t xml:space="preserve"> - </w:t>
      </w:r>
      <w:r w:rsidRPr="00AD1887">
        <w:rPr>
          <w:rFonts w:ascii="Verdana" w:hAnsi="Verdana"/>
          <w:lang w:val="en-GB"/>
        </w:rPr>
        <w:t xml:space="preserve">Phoenix IT has implemented an </w:t>
      </w:r>
      <w:r w:rsidRPr="00F363E0">
        <w:rPr>
          <w:rFonts w:ascii="Verdana" w:hAnsi="Verdana"/>
          <w:b/>
          <w:lang w:val="en-GB"/>
        </w:rPr>
        <w:t>e-learning platform</w:t>
      </w:r>
      <w:r w:rsidRPr="00AD1887">
        <w:rPr>
          <w:rFonts w:ascii="Verdana" w:hAnsi="Verdana"/>
          <w:lang w:val="en-GB"/>
        </w:rPr>
        <w:t xml:space="preserve"> at </w:t>
      </w:r>
      <w:r w:rsidRPr="00F363E0">
        <w:rPr>
          <w:rFonts w:ascii="Verdana" w:hAnsi="Verdana"/>
          <w:b/>
          <w:lang w:val="en-GB"/>
        </w:rPr>
        <w:t xml:space="preserve">The General Secretariat of the Government (SGG) - “Virtual </w:t>
      </w:r>
      <w:proofErr w:type="spellStart"/>
      <w:r w:rsidRPr="00F363E0">
        <w:rPr>
          <w:rFonts w:ascii="Verdana" w:hAnsi="Verdana"/>
          <w:b/>
          <w:lang w:val="en-GB"/>
        </w:rPr>
        <w:t>center</w:t>
      </w:r>
      <w:proofErr w:type="spellEnd"/>
      <w:r w:rsidRPr="00F363E0">
        <w:rPr>
          <w:rFonts w:ascii="Verdana" w:hAnsi="Verdana"/>
          <w:b/>
          <w:lang w:val="en-GB"/>
        </w:rPr>
        <w:t xml:space="preserve"> staff training”</w:t>
      </w:r>
      <w:r w:rsidRPr="00AD1887">
        <w:rPr>
          <w:rFonts w:ascii="Verdana" w:hAnsi="Verdana"/>
          <w:lang w:val="en-GB"/>
        </w:rPr>
        <w:t xml:space="preserve">, a platform which provides access to 500 internal users and an unlimited number of external users. The platform is designed for training and assessment of civil servants from SGG, subordinated public institutions and civil servants operating in decentralized institutions. Phoenix IT has implemented a modern </w:t>
      </w:r>
      <w:proofErr w:type="spellStart"/>
      <w:r w:rsidRPr="00AD1887">
        <w:rPr>
          <w:rFonts w:ascii="Verdana" w:hAnsi="Verdana"/>
          <w:lang w:val="en-GB"/>
        </w:rPr>
        <w:t>datacenter</w:t>
      </w:r>
      <w:proofErr w:type="spellEnd"/>
      <w:r w:rsidRPr="00AD1887">
        <w:rPr>
          <w:rFonts w:ascii="Verdana" w:hAnsi="Verdana"/>
          <w:lang w:val="en-GB"/>
        </w:rPr>
        <w:t xml:space="preserve"> equipped with routers/ firewalls, network devices, 10 servers, a complex st</w:t>
      </w:r>
      <w:r w:rsidR="00B239C6">
        <w:rPr>
          <w:rFonts w:ascii="Verdana" w:hAnsi="Verdana"/>
          <w:lang w:val="en-GB"/>
        </w:rPr>
        <w:t xml:space="preserve">orage solution, a tape library </w:t>
      </w:r>
      <w:r w:rsidRPr="00AD1887">
        <w:rPr>
          <w:rFonts w:ascii="Verdana" w:hAnsi="Verdana"/>
          <w:lang w:val="en-GB"/>
        </w:rPr>
        <w:t xml:space="preserve">and also uninterruptible power and protection equipment, to increase the availability of the solution. </w:t>
      </w:r>
    </w:p>
    <w:p w14:paraId="3463A555" w14:textId="441DCCCA" w:rsidR="001A5700" w:rsidRPr="00185661" w:rsidRDefault="001A5700" w:rsidP="00185661">
      <w:pPr>
        <w:spacing w:after="0" w:line="240" w:lineRule="auto"/>
        <w:ind w:left="360"/>
        <w:jc w:val="both"/>
        <w:rPr>
          <w:rFonts w:ascii="Verdana" w:hAnsi="Verdana"/>
          <w:lang w:val="en-GB"/>
        </w:rPr>
      </w:pPr>
      <w:r w:rsidRPr="00AD1887">
        <w:rPr>
          <w:rFonts w:ascii="Verdana" w:hAnsi="Verdana"/>
          <w:lang w:val="en-GB"/>
        </w:rPr>
        <w:t>In terms of infrastructure software, the solution offers LDAP services, firewall and proxy, portal platform, database, e-mail, configurations and infrastructure management, antivirus and backup based on the latest Microsoft and Symantec technologies. The project has completed in January 2014.</w:t>
      </w:r>
      <w:r w:rsidR="00185661" w:rsidRPr="00185661">
        <w:t xml:space="preserve"> </w:t>
      </w:r>
      <w:r w:rsidR="00185661" w:rsidRPr="00185661">
        <w:rPr>
          <w:rFonts w:ascii="Verdana" w:hAnsi="Verdana"/>
          <w:lang w:val="en-GB"/>
        </w:rPr>
        <w:t xml:space="preserve">Phoenix IT has provided </w:t>
      </w:r>
      <w:r w:rsidR="00185661">
        <w:rPr>
          <w:rFonts w:ascii="Verdana" w:hAnsi="Verdana"/>
          <w:lang w:val="en-GB"/>
        </w:rPr>
        <w:t xml:space="preserve">also </w:t>
      </w:r>
      <w:r w:rsidR="00185661" w:rsidRPr="00185661">
        <w:rPr>
          <w:rFonts w:ascii="Verdana" w:hAnsi="Verdana"/>
          <w:lang w:val="en-GB"/>
        </w:rPr>
        <w:t>between 201</w:t>
      </w:r>
      <w:r w:rsidR="00185661">
        <w:rPr>
          <w:rFonts w:ascii="Verdana" w:hAnsi="Verdana"/>
          <w:lang w:val="en-GB"/>
        </w:rPr>
        <w:t>4</w:t>
      </w:r>
      <w:r w:rsidR="00185661" w:rsidRPr="00185661">
        <w:rPr>
          <w:rFonts w:ascii="Verdana" w:hAnsi="Verdana"/>
          <w:lang w:val="en-GB"/>
        </w:rPr>
        <w:t>-201</w:t>
      </w:r>
      <w:r w:rsidR="00185661">
        <w:rPr>
          <w:rFonts w:ascii="Verdana" w:hAnsi="Verdana"/>
          <w:lang w:val="en-GB"/>
        </w:rPr>
        <w:t>5</w:t>
      </w:r>
      <w:r w:rsidR="00185661" w:rsidRPr="00185661">
        <w:rPr>
          <w:rFonts w:ascii="Verdana" w:hAnsi="Verdana"/>
          <w:lang w:val="en-GB"/>
        </w:rPr>
        <w:t xml:space="preserve"> and 201</w:t>
      </w:r>
      <w:r w:rsidR="00185661">
        <w:rPr>
          <w:rFonts w:ascii="Verdana" w:hAnsi="Verdana"/>
          <w:lang w:val="en-GB"/>
        </w:rPr>
        <w:t>7</w:t>
      </w:r>
      <w:r w:rsidR="00185661" w:rsidRPr="00185661">
        <w:rPr>
          <w:rFonts w:ascii="Verdana" w:hAnsi="Verdana"/>
          <w:lang w:val="en-GB"/>
        </w:rPr>
        <w:t>-201</w:t>
      </w:r>
      <w:r w:rsidR="00185661">
        <w:rPr>
          <w:rFonts w:ascii="Verdana" w:hAnsi="Verdana"/>
          <w:lang w:val="en-GB"/>
        </w:rPr>
        <w:t>8</w:t>
      </w:r>
      <w:r w:rsidR="00185661" w:rsidRPr="00185661">
        <w:rPr>
          <w:rFonts w:ascii="Verdana" w:hAnsi="Verdana"/>
          <w:lang w:val="en-GB"/>
        </w:rPr>
        <w:t xml:space="preserve"> maintenance for</w:t>
      </w:r>
      <w:r w:rsidR="00065BBD">
        <w:rPr>
          <w:rFonts w:ascii="Verdana" w:hAnsi="Verdana"/>
          <w:lang w:val="en-GB"/>
        </w:rPr>
        <w:t xml:space="preserve"> the </w:t>
      </w:r>
      <w:r w:rsidR="00A21739">
        <w:rPr>
          <w:rFonts w:ascii="Verdana" w:hAnsi="Verdana"/>
          <w:lang w:val="en-GB"/>
        </w:rPr>
        <w:t>e-learning system</w:t>
      </w:r>
      <w:r w:rsidR="00065BBD">
        <w:rPr>
          <w:rFonts w:ascii="Verdana" w:hAnsi="Verdana"/>
          <w:lang w:val="en-GB"/>
        </w:rPr>
        <w:t>.</w:t>
      </w:r>
    </w:p>
    <w:p w14:paraId="6DCA7A9A" w14:textId="4AA9BF57" w:rsidR="001A5700" w:rsidRDefault="001A5700" w:rsidP="001A5700">
      <w:pPr>
        <w:spacing w:line="240" w:lineRule="auto"/>
        <w:jc w:val="both"/>
        <w:rPr>
          <w:rFonts w:ascii="Verdana" w:hAnsi="Verdana"/>
          <w:sz w:val="24"/>
          <w:szCs w:val="24"/>
          <w:lang w:val="en-GB"/>
        </w:rPr>
      </w:pPr>
    </w:p>
    <w:p w14:paraId="6D1E4D43" w14:textId="3E86E951" w:rsidR="00926384" w:rsidRPr="00AD1887" w:rsidRDefault="00926384" w:rsidP="001A5700">
      <w:pPr>
        <w:spacing w:line="240" w:lineRule="auto"/>
        <w:jc w:val="both"/>
        <w:rPr>
          <w:rFonts w:ascii="Verdana" w:hAnsi="Verdana"/>
          <w:sz w:val="24"/>
          <w:szCs w:val="24"/>
          <w:lang w:val="en-GB"/>
        </w:rPr>
      </w:pPr>
      <w:r w:rsidRPr="00F228B4">
        <w:rPr>
          <w:rFonts w:ascii="Verdana" w:hAnsi="Verdana"/>
          <w:noProof/>
          <w:sz w:val="20"/>
          <w:szCs w:val="20"/>
        </w:rPr>
        <w:drawing>
          <wp:inline distT="0" distB="0" distL="0" distR="0" wp14:anchorId="58B1AA81" wp14:editId="253FAECE">
            <wp:extent cx="5943600" cy="3219450"/>
            <wp:effectExtent l="0" t="0" r="0" b="0"/>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7"/>
                    <a:stretch>
                      <a:fillRect/>
                    </a:stretch>
                  </pic:blipFill>
                  <pic:spPr>
                    <a:xfrm>
                      <a:off x="0" y="0"/>
                      <a:ext cx="5943600" cy="3219450"/>
                    </a:xfrm>
                    <a:prstGeom prst="rect">
                      <a:avLst/>
                    </a:prstGeom>
                  </pic:spPr>
                </pic:pic>
              </a:graphicData>
            </a:graphic>
          </wp:inline>
        </w:drawing>
      </w:r>
    </w:p>
    <w:p w14:paraId="628BDA48" w14:textId="77777777" w:rsidR="00F363E0" w:rsidRDefault="00F363E0" w:rsidP="001A5700">
      <w:pPr>
        <w:spacing w:after="0" w:line="240" w:lineRule="auto"/>
        <w:ind w:left="360"/>
        <w:jc w:val="both"/>
        <w:rPr>
          <w:rFonts w:ascii="Verdana" w:hAnsi="Verdana"/>
          <w:b/>
          <w:color w:val="002060"/>
          <w:u w:val="single"/>
          <w:lang w:val="en-GB"/>
        </w:rPr>
      </w:pPr>
    </w:p>
    <w:p w14:paraId="348AD07C" w14:textId="77777777" w:rsidR="00F363E0" w:rsidRDefault="00F363E0" w:rsidP="001A5700">
      <w:pPr>
        <w:spacing w:after="0" w:line="240" w:lineRule="auto"/>
        <w:ind w:left="360"/>
        <w:jc w:val="both"/>
        <w:rPr>
          <w:rFonts w:ascii="Verdana" w:hAnsi="Verdana"/>
          <w:b/>
          <w:color w:val="002060"/>
          <w:u w:val="single"/>
          <w:lang w:val="en-GB"/>
        </w:rPr>
      </w:pPr>
    </w:p>
    <w:p w14:paraId="246C0E6D" w14:textId="77777777" w:rsidR="00F363E0" w:rsidRDefault="00F363E0" w:rsidP="001A5700">
      <w:pPr>
        <w:spacing w:after="0" w:line="240" w:lineRule="auto"/>
        <w:ind w:left="360"/>
        <w:jc w:val="both"/>
        <w:rPr>
          <w:rFonts w:ascii="Verdana" w:hAnsi="Verdana"/>
          <w:b/>
          <w:color w:val="002060"/>
          <w:u w:val="single"/>
          <w:lang w:val="en-GB"/>
        </w:rPr>
      </w:pPr>
    </w:p>
    <w:p w14:paraId="4D73FD2F" w14:textId="55273300" w:rsidR="00F363E0" w:rsidRDefault="00F363E0" w:rsidP="001A5700">
      <w:pPr>
        <w:spacing w:after="0" w:line="240" w:lineRule="auto"/>
        <w:ind w:left="360"/>
        <w:jc w:val="both"/>
        <w:rPr>
          <w:rFonts w:ascii="Verdana" w:hAnsi="Verdana"/>
          <w:b/>
          <w:color w:val="002060"/>
          <w:u w:val="single"/>
          <w:lang w:val="en-GB"/>
        </w:rPr>
      </w:pPr>
    </w:p>
    <w:p w14:paraId="5BDC71B2" w14:textId="77777777" w:rsidR="00445A05" w:rsidRDefault="00445A05" w:rsidP="001A5700">
      <w:pPr>
        <w:spacing w:after="0" w:line="240" w:lineRule="auto"/>
        <w:ind w:left="360"/>
        <w:jc w:val="both"/>
        <w:rPr>
          <w:rFonts w:ascii="Verdana" w:hAnsi="Verdana"/>
          <w:b/>
          <w:color w:val="002060"/>
          <w:u w:val="single"/>
          <w:lang w:val="en-GB"/>
        </w:rPr>
      </w:pPr>
    </w:p>
    <w:p w14:paraId="0638D3B0" w14:textId="77777777" w:rsidR="00F363E0" w:rsidRDefault="00F363E0" w:rsidP="001A5700">
      <w:pPr>
        <w:spacing w:after="0" w:line="240" w:lineRule="auto"/>
        <w:ind w:left="360"/>
        <w:jc w:val="both"/>
        <w:rPr>
          <w:rFonts w:ascii="Verdana" w:hAnsi="Verdana"/>
          <w:b/>
          <w:color w:val="002060"/>
          <w:u w:val="single"/>
          <w:lang w:val="en-GB"/>
        </w:rPr>
      </w:pPr>
    </w:p>
    <w:p w14:paraId="0BCE6627" w14:textId="0B95A071" w:rsidR="001A5700" w:rsidRPr="00AD1887" w:rsidRDefault="001A5700" w:rsidP="001A5700">
      <w:pPr>
        <w:spacing w:after="0" w:line="240" w:lineRule="auto"/>
        <w:ind w:left="360"/>
        <w:jc w:val="both"/>
        <w:rPr>
          <w:rFonts w:ascii="Verdana" w:hAnsi="Verdana"/>
          <w:b/>
          <w:bCs/>
          <w:color w:val="002060"/>
          <w:sz w:val="20"/>
          <w:szCs w:val="20"/>
          <w:lang w:val="en-GB"/>
        </w:rPr>
      </w:pPr>
      <w:r w:rsidRPr="00F363E0">
        <w:rPr>
          <w:rFonts w:ascii="Verdana" w:hAnsi="Verdana"/>
          <w:b/>
          <w:color w:val="002060"/>
          <w:u w:val="single"/>
          <w:lang w:val="en-GB"/>
        </w:rPr>
        <w:lastRenderedPageBreak/>
        <w:t>National Registry of Legal Medicine</w:t>
      </w:r>
      <w:r w:rsidRPr="00AD1887">
        <w:rPr>
          <w:rFonts w:ascii="Verdana" w:hAnsi="Verdana"/>
          <w:b/>
          <w:bCs/>
          <w:color w:val="002060"/>
          <w:sz w:val="20"/>
          <w:szCs w:val="20"/>
          <w:lang w:val="en-GB"/>
        </w:rPr>
        <w:t xml:space="preserve"> -</w:t>
      </w:r>
      <w:r w:rsidRPr="00AD1887">
        <w:rPr>
          <w:rFonts w:ascii="Verdana" w:hAnsi="Verdana"/>
          <w:lang w:val="en-GB"/>
        </w:rPr>
        <w:t xml:space="preserve"> Phoenix IT has implemented in 2015 the integrated software solution called </w:t>
      </w:r>
      <w:r w:rsidRPr="00F363E0">
        <w:rPr>
          <w:rFonts w:ascii="Verdana" w:hAnsi="Verdana"/>
          <w:b/>
          <w:lang w:val="en-GB"/>
        </w:rPr>
        <w:t>National Registry of Legal Medicine</w:t>
      </w:r>
      <w:r w:rsidRPr="00AD1887">
        <w:rPr>
          <w:rFonts w:ascii="Verdana" w:hAnsi="Verdana"/>
          <w:lang w:val="en-GB"/>
        </w:rPr>
        <w:t xml:space="preserve"> that is used by all 42 legal medicine entities in Romania (IML Iasi, INML “Mina </w:t>
      </w:r>
      <w:proofErr w:type="spellStart"/>
      <w:r w:rsidRPr="00AD1887">
        <w:rPr>
          <w:rFonts w:ascii="Verdana" w:hAnsi="Verdana"/>
          <w:lang w:val="en-GB"/>
        </w:rPr>
        <w:t>Minovici</w:t>
      </w:r>
      <w:proofErr w:type="spellEnd"/>
      <w:r w:rsidRPr="00AD1887">
        <w:rPr>
          <w:rFonts w:ascii="Verdana" w:hAnsi="Verdana"/>
          <w:lang w:val="en-GB"/>
        </w:rPr>
        <w:t xml:space="preserve">” </w:t>
      </w:r>
      <w:proofErr w:type="spellStart"/>
      <w:r w:rsidRPr="00AD1887">
        <w:rPr>
          <w:rFonts w:ascii="Verdana" w:hAnsi="Verdana"/>
          <w:lang w:val="en-GB"/>
        </w:rPr>
        <w:t>Bucuresti</w:t>
      </w:r>
      <w:proofErr w:type="spellEnd"/>
      <w:r w:rsidRPr="00AD1887">
        <w:rPr>
          <w:rFonts w:ascii="Verdana" w:hAnsi="Verdana"/>
          <w:lang w:val="en-GB"/>
        </w:rPr>
        <w:t xml:space="preserve">, IML Cluj-Napoca, IML Craiova, IML Timisoara, IML </w:t>
      </w:r>
      <w:proofErr w:type="spellStart"/>
      <w:r w:rsidRPr="00AD1887">
        <w:rPr>
          <w:rFonts w:ascii="Verdana" w:hAnsi="Verdana"/>
          <w:lang w:val="en-GB"/>
        </w:rPr>
        <w:t>Targu-Mures</w:t>
      </w:r>
      <w:proofErr w:type="spellEnd"/>
      <w:r w:rsidRPr="00AD1887">
        <w:rPr>
          <w:rFonts w:ascii="Verdana" w:hAnsi="Verdana"/>
          <w:lang w:val="en-GB"/>
        </w:rPr>
        <w:t xml:space="preserve"> and other 36 county legal medicine services). The project has consisted in designing and implementation of a </w:t>
      </w:r>
      <w:proofErr w:type="spellStart"/>
      <w:r w:rsidRPr="00AD1887">
        <w:rPr>
          <w:rFonts w:ascii="Verdana" w:hAnsi="Verdana"/>
          <w:lang w:val="en-GB"/>
        </w:rPr>
        <w:t>datacenter</w:t>
      </w:r>
      <w:proofErr w:type="spellEnd"/>
      <w:r w:rsidRPr="00AD1887">
        <w:rPr>
          <w:rFonts w:ascii="Verdana" w:hAnsi="Verdana"/>
          <w:lang w:val="en-GB"/>
        </w:rPr>
        <w:t>, securing the network and communications, a dynamic case management system which represents the core of the solution, a knowledge management portal for employees, an application for citizens, a decision support system based on business intelligence technology, videoconferencing and email services. The interoperability with institutional partners (Ministry of Internal Affairs, Ministry of Justice, National Health Insurance House) is ensured through SOAP web services.</w:t>
      </w:r>
    </w:p>
    <w:p w14:paraId="0831918E" w14:textId="3B58254A" w:rsidR="001A5700" w:rsidRDefault="001A5700" w:rsidP="001A5700">
      <w:pPr>
        <w:spacing w:after="0"/>
        <w:jc w:val="both"/>
        <w:rPr>
          <w:rFonts w:ascii="Verdana" w:hAnsi="Verdana"/>
          <w:b/>
          <w:bCs/>
          <w:color w:val="002060"/>
          <w:sz w:val="20"/>
          <w:szCs w:val="20"/>
          <w:lang w:val="en-GB"/>
        </w:rPr>
      </w:pPr>
    </w:p>
    <w:p w14:paraId="3F9B64F2" w14:textId="58CDD3DC" w:rsidR="00941EEE" w:rsidRDefault="00941EEE" w:rsidP="00941EEE">
      <w:pPr>
        <w:spacing w:after="0"/>
        <w:jc w:val="center"/>
        <w:rPr>
          <w:rFonts w:ascii="Verdana" w:hAnsi="Verdana"/>
          <w:b/>
          <w:bCs/>
          <w:color w:val="002060"/>
          <w:sz w:val="20"/>
          <w:szCs w:val="20"/>
          <w:lang w:val="en-GB"/>
        </w:rPr>
      </w:pPr>
      <w:r w:rsidRPr="00222C2A">
        <w:rPr>
          <w:rFonts w:ascii="Verdana" w:hAnsi="Verdana"/>
          <w:b/>
          <w:bCs/>
          <w:noProof/>
          <w:color w:val="002060"/>
          <w:sz w:val="20"/>
          <w:szCs w:val="20"/>
        </w:rPr>
        <w:drawing>
          <wp:inline distT="0" distB="0" distL="0" distR="0" wp14:anchorId="6B45863F" wp14:editId="6F269D18">
            <wp:extent cx="5943600" cy="4195445"/>
            <wp:effectExtent l="0" t="0" r="0" b="0"/>
            <wp:docPr id="2" name="Picture 2" descr="D:\Documente CN\implementare\IML\Cereri de plata\audit monitorizare martie 2016 dupa CR final\Dedalus\Printscreenuri Portal managementul cunoasterii\Printscreenuri Portal managementul cunoasterii\KM_13.1 - Portal 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 CN\implementare\IML\Cereri de plata\audit monitorizare martie 2016 dupa CR final\Dedalus\Printscreenuri Portal managementul cunoasterii\Printscreenuri Portal managementul cunoasterii\KM_13.1 - Portal Publ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5445"/>
                    </a:xfrm>
                    <a:prstGeom prst="rect">
                      <a:avLst/>
                    </a:prstGeom>
                    <a:noFill/>
                    <a:ln>
                      <a:noFill/>
                    </a:ln>
                  </pic:spPr>
                </pic:pic>
              </a:graphicData>
            </a:graphic>
          </wp:inline>
        </w:drawing>
      </w:r>
    </w:p>
    <w:p w14:paraId="36E4E27D" w14:textId="77777777" w:rsidR="00941EEE" w:rsidRPr="00AD1887" w:rsidRDefault="00941EEE" w:rsidP="001A5700">
      <w:pPr>
        <w:spacing w:after="0"/>
        <w:jc w:val="both"/>
        <w:rPr>
          <w:rFonts w:ascii="Verdana" w:hAnsi="Verdana"/>
          <w:b/>
          <w:bCs/>
          <w:color w:val="002060"/>
          <w:sz w:val="20"/>
          <w:szCs w:val="20"/>
          <w:lang w:val="en-GB"/>
        </w:rPr>
      </w:pPr>
    </w:p>
    <w:p w14:paraId="70A9AE94" w14:textId="77777777" w:rsidR="001A5700" w:rsidRPr="00AD1887" w:rsidRDefault="001A5700" w:rsidP="001A5700">
      <w:pPr>
        <w:spacing w:after="0" w:line="240" w:lineRule="auto"/>
        <w:ind w:left="360"/>
        <w:jc w:val="both"/>
        <w:rPr>
          <w:rFonts w:ascii="Verdana" w:hAnsi="Verdana"/>
          <w:b/>
          <w:color w:val="002060"/>
          <w:lang w:val="en-GB"/>
        </w:rPr>
      </w:pPr>
      <w:r w:rsidRPr="00855C0B">
        <w:rPr>
          <w:rFonts w:ascii="Verdana" w:hAnsi="Verdana"/>
          <w:b/>
          <w:color w:val="002060"/>
          <w:u w:val="single"/>
          <w:lang w:val="en-GB"/>
        </w:rPr>
        <w:t>County Emergency Hospital of Bacau</w:t>
      </w:r>
      <w:r w:rsidRPr="00AD1887">
        <w:rPr>
          <w:rFonts w:ascii="Verdana" w:hAnsi="Verdana"/>
          <w:b/>
          <w:color w:val="002060"/>
          <w:lang w:val="en-GB"/>
        </w:rPr>
        <w:t xml:space="preserve"> - </w:t>
      </w:r>
      <w:r w:rsidRPr="00AD1887">
        <w:rPr>
          <w:rFonts w:ascii="Verdana" w:hAnsi="Verdana"/>
          <w:lang w:val="en-GB"/>
        </w:rPr>
        <w:t>Phoenix IT has delivered in 2018 the project D.A.L.I. consisting in extension to the existing Hospital Information System. We provided business analysis services, design services, engineering services, cost-benefits analysis, extensions and upgrades of the application software modules and project management.</w:t>
      </w:r>
    </w:p>
    <w:p w14:paraId="389B543C" w14:textId="77777777" w:rsidR="001A5700" w:rsidRPr="00AD1887" w:rsidRDefault="001A5700" w:rsidP="001A5700">
      <w:pPr>
        <w:spacing w:after="0"/>
        <w:jc w:val="both"/>
        <w:rPr>
          <w:rFonts w:ascii="Verdana" w:hAnsi="Verdana"/>
          <w:b/>
          <w:bCs/>
          <w:color w:val="002060"/>
          <w:sz w:val="20"/>
          <w:szCs w:val="20"/>
          <w:lang w:val="en-GB"/>
        </w:rPr>
      </w:pPr>
    </w:p>
    <w:p w14:paraId="39FB4E00" w14:textId="31F51508" w:rsidR="001A5700" w:rsidRPr="00AD1887" w:rsidRDefault="001A5700" w:rsidP="001A5700">
      <w:pPr>
        <w:spacing w:after="0" w:line="240" w:lineRule="auto"/>
        <w:ind w:left="360"/>
        <w:jc w:val="both"/>
        <w:rPr>
          <w:rFonts w:ascii="Verdana" w:hAnsi="Verdana"/>
          <w:b/>
          <w:color w:val="002060"/>
          <w:lang w:val="en-GB"/>
        </w:rPr>
      </w:pPr>
      <w:r w:rsidRPr="00855C0B">
        <w:rPr>
          <w:rFonts w:ascii="Verdana" w:hAnsi="Verdana"/>
          <w:b/>
          <w:color w:val="002060"/>
          <w:u w:val="single"/>
          <w:lang w:val="en-GB"/>
        </w:rPr>
        <w:lastRenderedPageBreak/>
        <w:t>County Prahova</w:t>
      </w:r>
      <w:r w:rsidRPr="00AD1887">
        <w:rPr>
          <w:rFonts w:ascii="Verdana" w:hAnsi="Verdana"/>
          <w:b/>
          <w:color w:val="002060"/>
          <w:lang w:val="en-GB"/>
        </w:rPr>
        <w:t xml:space="preserve"> - </w:t>
      </w:r>
      <w:r w:rsidRPr="00AD1887">
        <w:rPr>
          <w:rFonts w:ascii="Verdana" w:hAnsi="Verdana"/>
          <w:lang w:val="en-GB"/>
        </w:rPr>
        <w:t xml:space="preserve">Phoenix IT has implemented in 2015 an integrated system which consisted in </w:t>
      </w:r>
      <w:proofErr w:type="spellStart"/>
      <w:r w:rsidRPr="00AD1887">
        <w:rPr>
          <w:rFonts w:ascii="Verdana" w:hAnsi="Verdana"/>
          <w:lang w:val="en-GB"/>
        </w:rPr>
        <w:t>datace</w:t>
      </w:r>
      <w:r w:rsidR="00855C0B">
        <w:rPr>
          <w:rFonts w:ascii="Verdana" w:hAnsi="Verdana"/>
          <w:lang w:val="en-GB"/>
        </w:rPr>
        <w:t>nter</w:t>
      </w:r>
      <w:proofErr w:type="spellEnd"/>
      <w:r w:rsidR="00855C0B">
        <w:rPr>
          <w:rFonts w:ascii="Verdana" w:hAnsi="Verdana"/>
          <w:lang w:val="en-GB"/>
        </w:rPr>
        <w:t xml:space="preserve"> design and implementation </w:t>
      </w:r>
      <w:r w:rsidRPr="00AD1887">
        <w:rPr>
          <w:rFonts w:ascii="Verdana" w:hAnsi="Verdana"/>
          <w:lang w:val="en-GB"/>
        </w:rPr>
        <w:t xml:space="preserve">of a centralized management </w:t>
      </w:r>
      <w:r w:rsidR="00855C0B">
        <w:rPr>
          <w:rFonts w:ascii="Verdana" w:hAnsi="Verdana"/>
          <w:lang w:val="en-GB"/>
        </w:rPr>
        <w:t xml:space="preserve">solution </w:t>
      </w:r>
      <w:r w:rsidRPr="00AD1887">
        <w:rPr>
          <w:rFonts w:ascii="Verdana" w:hAnsi="Verdana"/>
          <w:lang w:val="en-GB"/>
        </w:rPr>
        <w:t>for the Agricultural Registry, including GIS.</w:t>
      </w:r>
    </w:p>
    <w:p w14:paraId="78EC256C" w14:textId="77777777" w:rsidR="001A5700" w:rsidRPr="00AD1887" w:rsidRDefault="001A5700" w:rsidP="001A5700">
      <w:pPr>
        <w:spacing w:after="0"/>
        <w:jc w:val="both"/>
        <w:rPr>
          <w:rFonts w:ascii="Verdana" w:hAnsi="Verdana"/>
          <w:bCs/>
          <w:sz w:val="20"/>
          <w:szCs w:val="20"/>
          <w:lang w:val="en-GB"/>
        </w:rPr>
      </w:pPr>
    </w:p>
    <w:p w14:paraId="16648EC2" w14:textId="47A733F8" w:rsidR="001A5700" w:rsidRPr="00AD1887" w:rsidRDefault="001A5700" w:rsidP="001A5700">
      <w:pPr>
        <w:spacing w:after="0" w:line="240" w:lineRule="auto"/>
        <w:ind w:left="360"/>
        <w:jc w:val="both"/>
        <w:rPr>
          <w:rFonts w:ascii="Verdana" w:hAnsi="Verdana"/>
          <w:bCs/>
          <w:sz w:val="20"/>
          <w:szCs w:val="20"/>
          <w:lang w:val="en-GB"/>
        </w:rPr>
      </w:pPr>
      <w:r w:rsidRPr="00855C0B">
        <w:rPr>
          <w:rFonts w:ascii="Verdana" w:hAnsi="Verdana"/>
          <w:b/>
          <w:color w:val="002060"/>
          <w:u w:val="single"/>
          <w:lang w:val="en-GB"/>
        </w:rPr>
        <w:t>County Bihor</w:t>
      </w:r>
      <w:r w:rsidRPr="00AD1887">
        <w:rPr>
          <w:rFonts w:ascii="Verdana" w:hAnsi="Verdana"/>
          <w:b/>
          <w:color w:val="002060"/>
          <w:lang w:val="en-GB"/>
        </w:rPr>
        <w:t xml:space="preserve"> </w:t>
      </w:r>
      <w:r w:rsidRPr="00AD1887">
        <w:rPr>
          <w:rFonts w:ascii="Verdana" w:hAnsi="Verdana"/>
          <w:lang w:val="en-GB"/>
        </w:rPr>
        <w:t>- Phoen</w:t>
      </w:r>
      <w:r w:rsidR="00855C0B">
        <w:rPr>
          <w:rFonts w:ascii="Verdana" w:hAnsi="Verdana"/>
          <w:lang w:val="en-GB"/>
        </w:rPr>
        <w:t>ix IT has provided between 2017-</w:t>
      </w:r>
      <w:r w:rsidRPr="00AD1887">
        <w:rPr>
          <w:rFonts w:ascii="Verdana" w:hAnsi="Verdana"/>
          <w:lang w:val="en-GB"/>
        </w:rPr>
        <w:t>2018</w:t>
      </w:r>
      <w:r w:rsidR="00855C0B">
        <w:rPr>
          <w:rFonts w:ascii="Verdana" w:hAnsi="Verdana"/>
          <w:lang w:val="en-GB"/>
        </w:rPr>
        <w:t xml:space="preserve"> and 2018-2019</w:t>
      </w:r>
      <w:r w:rsidRPr="00AD1887">
        <w:rPr>
          <w:rFonts w:ascii="Verdana" w:hAnsi="Verdana"/>
          <w:lang w:val="en-GB"/>
        </w:rPr>
        <w:t xml:space="preserve"> maintenance for the county </w:t>
      </w:r>
      <w:r w:rsidR="00855C0B" w:rsidRPr="00AD1887">
        <w:rPr>
          <w:rFonts w:ascii="Verdana" w:hAnsi="Verdana"/>
          <w:lang w:val="en-GB"/>
        </w:rPr>
        <w:t>integrated system</w:t>
      </w:r>
      <w:r w:rsidR="00510D78">
        <w:rPr>
          <w:rFonts w:ascii="Verdana" w:hAnsi="Verdana"/>
          <w:lang w:val="en-GB"/>
        </w:rPr>
        <w:t xml:space="preserve">: hardware, software and </w:t>
      </w:r>
      <w:r w:rsidR="00510D78" w:rsidRPr="00AD1887">
        <w:rPr>
          <w:rFonts w:ascii="Verdana" w:hAnsi="Verdana"/>
          <w:lang w:val="en-GB"/>
        </w:rPr>
        <w:t xml:space="preserve">centralized management </w:t>
      </w:r>
      <w:r w:rsidR="00510D78">
        <w:rPr>
          <w:rFonts w:ascii="Verdana" w:hAnsi="Verdana"/>
          <w:lang w:val="en-GB"/>
        </w:rPr>
        <w:t xml:space="preserve">solution </w:t>
      </w:r>
      <w:r w:rsidR="00510D78" w:rsidRPr="00AD1887">
        <w:rPr>
          <w:rFonts w:ascii="Verdana" w:hAnsi="Verdana"/>
          <w:lang w:val="en-GB"/>
        </w:rPr>
        <w:t>for the Agricultural Registry, including GIS</w:t>
      </w:r>
      <w:r w:rsidR="00510D78">
        <w:rPr>
          <w:rFonts w:ascii="Verdana" w:hAnsi="Verdana"/>
          <w:lang w:val="en-GB"/>
        </w:rPr>
        <w:t>.</w:t>
      </w:r>
    </w:p>
    <w:p w14:paraId="2AC558F5" w14:textId="77777777" w:rsidR="001A5700" w:rsidRPr="00AD1887" w:rsidRDefault="001A5700" w:rsidP="001A5700">
      <w:pPr>
        <w:spacing w:after="0" w:line="240" w:lineRule="auto"/>
        <w:jc w:val="both"/>
        <w:rPr>
          <w:rFonts w:ascii="Verdana" w:hAnsi="Verdana"/>
          <w:b/>
          <w:sz w:val="24"/>
          <w:szCs w:val="24"/>
          <w:lang w:val="en-GB"/>
        </w:rPr>
      </w:pPr>
    </w:p>
    <w:p w14:paraId="6FF2767C" w14:textId="481B3EB4" w:rsidR="001A5700" w:rsidRDefault="001A5700" w:rsidP="001A5700">
      <w:pPr>
        <w:spacing w:after="0" w:line="240" w:lineRule="auto"/>
        <w:ind w:left="360"/>
        <w:jc w:val="both"/>
        <w:rPr>
          <w:rFonts w:ascii="Verdana" w:hAnsi="Verdana"/>
          <w:lang w:val="en-GB"/>
        </w:rPr>
      </w:pPr>
      <w:proofErr w:type="spellStart"/>
      <w:r w:rsidRPr="00445A05">
        <w:rPr>
          <w:rFonts w:ascii="Verdana" w:hAnsi="Verdana"/>
          <w:b/>
          <w:color w:val="002060"/>
          <w:u w:val="single"/>
          <w:lang w:val="en-GB"/>
        </w:rPr>
        <w:t>Isys</w:t>
      </w:r>
      <w:proofErr w:type="spellEnd"/>
      <w:r w:rsidRPr="00445A05">
        <w:rPr>
          <w:rFonts w:ascii="Verdana" w:hAnsi="Verdana"/>
          <w:b/>
          <w:color w:val="002060"/>
          <w:u w:val="single"/>
          <w:lang w:val="en-GB"/>
        </w:rPr>
        <w:t xml:space="preserve"> Professional</w:t>
      </w:r>
      <w:r w:rsidRPr="00AD1887">
        <w:rPr>
          <w:rFonts w:ascii="Verdana" w:hAnsi="Verdana"/>
          <w:b/>
          <w:color w:val="002060"/>
          <w:lang w:val="en-GB"/>
        </w:rPr>
        <w:t xml:space="preserve"> </w:t>
      </w:r>
      <w:r w:rsidRPr="00AD1887">
        <w:rPr>
          <w:rFonts w:ascii="Verdana" w:hAnsi="Verdana"/>
          <w:lang w:val="en-GB"/>
        </w:rPr>
        <w:t xml:space="preserve">- Phoenix IT performed for </w:t>
      </w:r>
      <w:proofErr w:type="spellStart"/>
      <w:r w:rsidRPr="00AD1887">
        <w:rPr>
          <w:rFonts w:ascii="Verdana" w:hAnsi="Verdana"/>
          <w:lang w:val="en-GB"/>
        </w:rPr>
        <w:t>Isys</w:t>
      </w:r>
      <w:proofErr w:type="spellEnd"/>
      <w:r w:rsidRPr="00AD1887">
        <w:rPr>
          <w:rFonts w:ascii="Verdana" w:hAnsi="Verdana"/>
          <w:lang w:val="en-GB"/>
        </w:rPr>
        <w:t xml:space="preserve"> Professional a project of implementation of </w:t>
      </w:r>
      <w:proofErr w:type="spellStart"/>
      <w:r w:rsidRPr="00AD1887">
        <w:rPr>
          <w:rFonts w:ascii="Verdana" w:hAnsi="Verdana"/>
          <w:lang w:val="en-GB"/>
        </w:rPr>
        <w:t>eCommerce</w:t>
      </w:r>
      <w:proofErr w:type="spellEnd"/>
      <w:r w:rsidRPr="00AD1887">
        <w:rPr>
          <w:rFonts w:ascii="Verdana" w:hAnsi="Verdana"/>
          <w:lang w:val="en-GB"/>
        </w:rPr>
        <w:t xml:space="preserve"> platform, aiming at increasing company competitiveness. The platform consists of a virtual store which presents the products and services provided by </w:t>
      </w:r>
      <w:proofErr w:type="spellStart"/>
      <w:r w:rsidRPr="00AD1887">
        <w:rPr>
          <w:rFonts w:ascii="Verdana" w:hAnsi="Verdana"/>
          <w:lang w:val="en-GB"/>
        </w:rPr>
        <w:t>Isys</w:t>
      </w:r>
      <w:proofErr w:type="spellEnd"/>
      <w:r w:rsidRPr="00AD1887">
        <w:rPr>
          <w:rFonts w:ascii="Verdana" w:hAnsi="Verdana"/>
          <w:lang w:val="en-GB"/>
        </w:rPr>
        <w:t xml:space="preserve"> Professional, including online ordering. Phoenix IT has ensured the hardware, application software and integration services with existing applications, training and post-implementation services.</w:t>
      </w:r>
    </w:p>
    <w:p w14:paraId="58415482" w14:textId="210569D9" w:rsidR="00445A05" w:rsidRDefault="00445A05" w:rsidP="001A5700">
      <w:pPr>
        <w:spacing w:after="0" w:line="240" w:lineRule="auto"/>
        <w:ind w:left="360"/>
        <w:jc w:val="both"/>
        <w:rPr>
          <w:rFonts w:ascii="Verdana" w:hAnsi="Verdana"/>
          <w:sz w:val="24"/>
          <w:szCs w:val="24"/>
          <w:lang w:val="en-GB"/>
        </w:rPr>
      </w:pPr>
    </w:p>
    <w:p w14:paraId="67BA5F1B" w14:textId="67899F25" w:rsidR="00445A05" w:rsidRDefault="00445A05" w:rsidP="001A5700">
      <w:pPr>
        <w:spacing w:after="0" w:line="240" w:lineRule="auto"/>
        <w:ind w:left="360"/>
        <w:jc w:val="both"/>
        <w:rPr>
          <w:rFonts w:ascii="Verdana" w:hAnsi="Verdana"/>
          <w:b/>
          <w:sz w:val="24"/>
          <w:szCs w:val="24"/>
          <w:lang w:val="en-GB"/>
        </w:rPr>
      </w:pPr>
      <w:r w:rsidRPr="00445A05">
        <w:rPr>
          <w:rFonts w:ascii="Verdana" w:hAnsi="Verdana"/>
          <w:b/>
          <w:sz w:val="24"/>
          <w:szCs w:val="24"/>
          <w:lang w:val="en-GB"/>
        </w:rPr>
        <w:t>Other customers:</w:t>
      </w:r>
    </w:p>
    <w:p w14:paraId="7616E4ED" w14:textId="77777777" w:rsidR="00482500" w:rsidRPr="00445A05" w:rsidRDefault="00482500" w:rsidP="001A5700">
      <w:pPr>
        <w:spacing w:after="0" w:line="240" w:lineRule="auto"/>
        <w:ind w:left="360"/>
        <w:jc w:val="both"/>
        <w:rPr>
          <w:rFonts w:ascii="Verdana" w:hAnsi="Verdana"/>
          <w:b/>
          <w:sz w:val="24"/>
          <w:szCs w:val="24"/>
          <w:lang w:val="en-GB"/>
        </w:rPr>
      </w:pPr>
    </w:p>
    <w:tbl>
      <w:tblPr>
        <w:tblStyle w:val="TableGrid"/>
        <w:tblW w:w="0" w:type="auto"/>
        <w:tblLook w:val="04A0" w:firstRow="1" w:lastRow="0" w:firstColumn="1" w:lastColumn="0" w:noHBand="0" w:noVBand="1"/>
      </w:tblPr>
      <w:tblGrid>
        <w:gridCol w:w="4899"/>
        <w:gridCol w:w="4901"/>
      </w:tblGrid>
      <w:tr w:rsidR="00445A05" w14:paraId="383CCB33" w14:textId="77777777" w:rsidTr="00DC3F3A">
        <w:tc>
          <w:tcPr>
            <w:tcW w:w="4990" w:type="dxa"/>
          </w:tcPr>
          <w:p w14:paraId="4B5751CC" w14:textId="3A56E637" w:rsidR="00445A05" w:rsidRPr="00E23293" w:rsidRDefault="00445A05" w:rsidP="00DC3F3A">
            <w:pPr>
              <w:spacing w:line="288" w:lineRule="auto"/>
              <w:jc w:val="both"/>
              <w:rPr>
                <w:rFonts w:ascii="Verdana" w:hAnsi="Verdana"/>
                <w:b/>
                <w:sz w:val="20"/>
                <w:szCs w:val="20"/>
                <w:lang w:val="ro-RO"/>
              </w:rPr>
            </w:pPr>
            <w:r w:rsidRPr="000E68B3">
              <w:rPr>
                <w:rFonts w:ascii="Verdana" w:hAnsi="Verdana"/>
                <w:b/>
                <w:sz w:val="20"/>
                <w:szCs w:val="20"/>
                <w:lang w:val="ro-RO"/>
              </w:rPr>
              <w:t>Uti</w:t>
            </w:r>
            <w:r>
              <w:rPr>
                <w:rFonts w:ascii="Verdana" w:hAnsi="Verdana"/>
                <w:b/>
                <w:sz w:val="20"/>
                <w:szCs w:val="20"/>
                <w:lang w:val="ro-RO"/>
              </w:rPr>
              <w:t>lities</w:t>
            </w:r>
            <w:r w:rsidRPr="000E68B3">
              <w:rPr>
                <w:rFonts w:ascii="Verdana" w:hAnsi="Verdana"/>
                <w:b/>
                <w:sz w:val="20"/>
                <w:szCs w:val="20"/>
                <w:lang w:val="ro-RO"/>
              </w:rPr>
              <w:t>:</w:t>
            </w:r>
          </w:p>
          <w:p w14:paraId="6FE9E4A2" w14:textId="09EADC6B"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Apa Nova Ploiești</w:t>
            </w:r>
            <w:r w:rsidRPr="00A5100B">
              <w:rPr>
                <w:rFonts w:ascii="Verdana" w:hAnsi="Verdana"/>
                <w:sz w:val="20"/>
                <w:szCs w:val="20"/>
                <w:lang w:val="ro-RO"/>
              </w:rPr>
              <w:t xml:space="preserve"> </w:t>
            </w:r>
            <w:r w:rsidR="00C64BC3">
              <w:rPr>
                <w:rFonts w:ascii="Verdana" w:hAnsi="Verdana"/>
                <w:sz w:val="20"/>
                <w:szCs w:val="20"/>
                <w:lang w:val="ro-RO"/>
              </w:rPr>
              <w:t>(Veolia)</w:t>
            </w:r>
          </w:p>
          <w:p w14:paraId="7AF51FC5" w14:textId="77777777" w:rsidR="00445A05" w:rsidRPr="00A5100B"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Conpet SA</w:t>
            </w:r>
          </w:p>
          <w:p w14:paraId="28D0D1C3" w14:textId="2ED88CC2"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Electrica Serv</w:t>
            </w:r>
            <w:r w:rsidR="00C64BC3">
              <w:rPr>
                <w:rFonts w:ascii="Verdana" w:hAnsi="Verdana"/>
                <w:sz w:val="20"/>
                <w:szCs w:val="20"/>
                <w:lang w:val="ro-RO"/>
              </w:rPr>
              <w:t xml:space="preserve"> SA</w:t>
            </w:r>
          </w:p>
          <w:p w14:paraId="6E0BEFCB" w14:textId="71E0BF9D"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Electrica Furnizare</w:t>
            </w:r>
            <w:r w:rsidR="00C64BC3">
              <w:rPr>
                <w:rFonts w:ascii="Verdana" w:hAnsi="Verdana"/>
                <w:sz w:val="20"/>
                <w:szCs w:val="20"/>
                <w:lang w:val="ro-RO"/>
              </w:rPr>
              <w:t xml:space="preserve"> SA</w:t>
            </w:r>
          </w:p>
          <w:p w14:paraId="5AFB234C" w14:textId="77777777" w:rsidR="00445A05" w:rsidRPr="00D53EF7"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Teletrans</w:t>
            </w:r>
          </w:p>
        </w:tc>
        <w:tc>
          <w:tcPr>
            <w:tcW w:w="4990" w:type="dxa"/>
          </w:tcPr>
          <w:p w14:paraId="6F8611D1" w14:textId="59DB7228" w:rsidR="00445A05" w:rsidRPr="001B7FF5" w:rsidRDefault="00445A05" w:rsidP="00DC3F3A">
            <w:pPr>
              <w:spacing w:line="288" w:lineRule="auto"/>
              <w:jc w:val="both"/>
              <w:rPr>
                <w:rFonts w:ascii="Verdana" w:hAnsi="Verdana"/>
                <w:b/>
                <w:sz w:val="20"/>
                <w:szCs w:val="20"/>
                <w:lang w:val="ro-RO"/>
              </w:rPr>
            </w:pPr>
            <w:r>
              <w:rPr>
                <w:rFonts w:ascii="Verdana" w:hAnsi="Verdana"/>
                <w:b/>
                <w:sz w:val="20"/>
                <w:szCs w:val="20"/>
                <w:lang w:val="ro-RO"/>
              </w:rPr>
              <w:t>Banking-Insurrance</w:t>
            </w:r>
            <w:r w:rsidRPr="001B7FF5">
              <w:rPr>
                <w:rFonts w:ascii="Verdana" w:hAnsi="Verdana"/>
                <w:b/>
                <w:sz w:val="20"/>
                <w:szCs w:val="20"/>
                <w:lang w:val="ro-RO"/>
              </w:rPr>
              <w:t>:</w:t>
            </w:r>
          </w:p>
          <w:p w14:paraId="23AD07C1" w14:textId="266C3971"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sidRPr="00445A05">
              <w:rPr>
                <w:rFonts w:ascii="Verdana" w:hAnsi="Verdana"/>
                <w:sz w:val="20"/>
                <w:szCs w:val="20"/>
                <w:lang w:val="ro-RO"/>
              </w:rPr>
              <w:t>CEC Bank</w:t>
            </w:r>
          </w:p>
          <w:p w14:paraId="05667EC2" w14:textId="7762C859" w:rsidR="00445A05" w:rsidRPr="002430D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Credius IFN SA</w:t>
            </w:r>
          </w:p>
          <w:p w14:paraId="48198775" w14:textId="77777777"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Asito Kapital Asigurari-</w:t>
            </w:r>
            <w:r w:rsidRPr="001B7FF5">
              <w:rPr>
                <w:rFonts w:ascii="Verdana" w:hAnsi="Verdana"/>
                <w:sz w:val="20"/>
                <w:szCs w:val="20"/>
                <w:lang w:val="ro-RO"/>
              </w:rPr>
              <w:t>Reasigurari</w:t>
            </w:r>
          </w:p>
          <w:p w14:paraId="166E6913" w14:textId="77777777"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Eurolife ERB Asigurari</w:t>
            </w:r>
            <w:r w:rsidRPr="002430D5">
              <w:rPr>
                <w:rFonts w:ascii="Verdana" w:hAnsi="Verdana"/>
                <w:sz w:val="20"/>
                <w:szCs w:val="20"/>
                <w:lang w:val="ro-RO"/>
              </w:rPr>
              <w:t xml:space="preserve"> </w:t>
            </w:r>
          </w:p>
          <w:p w14:paraId="24C1C204" w14:textId="77777777" w:rsidR="00445A05" w:rsidRPr="001B7FF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Euroins Asigurare-Reasigurare</w:t>
            </w:r>
            <w:r w:rsidRPr="00702A4A">
              <w:rPr>
                <w:rFonts w:ascii="Verdana" w:hAnsi="Verdana"/>
                <w:sz w:val="20"/>
                <w:szCs w:val="20"/>
                <w:lang w:val="ro-RO"/>
              </w:rPr>
              <w:t xml:space="preserve"> </w:t>
            </w:r>
          </w:p>
        </w:tc>
      </w:tr>
      <w:tr w:rsidR="00445A05" w14:paraId="13385DF7" w14:textId="77777777" w:rsidTr="00DC3F3A">
        <w:tc>
          <w:tcPr>
            <w:tcW w:w="4990" w:type="dxa"/>
          </w:tcPr>
          <w:p w14:paraId="0F4C42C4" w14:textId="36E699B0" w:rsidR="00445A05" w:rsidRPr="001B7FF5" w:rsidRDefault="00445A05" w:rsidP="00DC3F3A">
            <w:pPr>
              <w:jc w:val="both"/>
              <w:rPr>
                <w:rFonts w:ascii="Verdana" w:hAnsi="Verdana"/>
                <w:b/>
                <w:sz w:val="20"/>
                <w:szCs w:val="20"/>
                <w:lang w:val="ro-RO"/>
              </w:rPr>
            </w:pPr>
            <w:r w:rsidRPr="001B7FF5">
              <w:rPr>
                <w:rFonts w:ascii="Verdana" w:hAnsi="Verdana"/>
                <w:b/>
                <w:sz w:val="20"/>
                <w:szCs w:val="20"/>
                <w:lang w:val="ro-RO"/>
              </w:rPr>
              <w:t>Distribu</w:t>
            </w:r>
            <w:r>
              <w:rPr>
                <w:rFonts w:ascii="Verdana" w:hAnsi="Verdana"/>
                <w:b/>
                <w:sz w:val="20"/>
                <w:szCs w:val="20"/>
                <w:lang w:val="ro-RO"/>
              </w:rPr>
              <w:t>tion</w:t>
            </w:r>
            <w:r w:rsidRPr="001B7FF5">
              <w:rPr>
                <w:rFonts w:ascii="Verdana" w:hAnsi="Verdana"/>
                <w:b/>
                <w:sz w:val="20"/>
                <w:szCs w:val="20"/>
                <w:lang w:val="ro-RO"/>
              </w:rPr>
              <w:t xml:space="preserve">: </w:t>
            </w:r>
          </w:p>
          <w:p w14:paraId="7BAA0781" w14:textId="77777777"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Interbrands Marketing &amp; Distribution</w:t>
            </w:r>
          </w:p>
          <w:p w14:paraId="44EEE9CE" w14:textId="77777777"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Augsburg International</w:t>
            </w:r>
          </w:p>
          <w:p w14:paraId="1C8C6D1D" w14:textId="77777777" w:rsidR="00445A05" w:rsidRPr="009944E4"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Trima Birotică &amp; Papetărie</w:t>
            </w:r>
          </w:p>
        </w:tc>
        <w:tc>
          <w:tcPr>
            <w:tcW w:w="4990" w:type="dxa"/>
          </w:tcPr>
          <w:p w14:paraId="5242ACE1" w14:textId="593CC442" w:rsidR="00445A05" w:rsidRPr="001B7FF5" w:rsidRDefault="00445A05" w:rsidP="00DC3F3A">
            <w:pPr>
              <w:jc w:val="both"/>
              <w:rPr>
                <w:rFonts w:ascii="Verdana" w:hAnsi="Verdana"/>
                <w:sz w:val="20"/>
                <w:szCs w:val="20"/>
                <w:lang w:val="ro-RO"/>
              </w:rPr>
            </w:pPr>
            <w:r w:rsidRPr="001B7FF5">
              <w:rPr>
                <w:rFonts w:ascii="Verdana" w:hAnsi="Verdana"/>
                <w:b/>
                <w:sz w:val="20"/>
                <w:szCs w:val="20"/>
                <w:lang w:val="ro-RO"/>
              </w:rPr>
              <w:t>Produ</w:t>
            </w:r>
            <w:r>
              <w:rPr>
                <w:rFonts w:ascii="Verdana" w:hAnsi="Verdana"/>
                <w:b/>
                <w:sz w:val="20"/>
                <w:szCs w:val="20"/>
                <w:lang w:val="ro-RO"/>
              </w:rPr>
              <w:t>ction</w:t>
            </w:r>
            <w:r w:rsidRPr="001B7FF5">
              <w:rPr>
                <w:rFonts w:ascii="Verdana" w:hAnsi="Verdana"/>
                <w:b/>
                <w:sz w:val="20"/>
                <w:szCs w:val="20"/>
                <w:lang w:val="ro-RO"/>
              </w:rPr>
              <w:t xml:space="preserve">: </w:t>
            </w:r>
          </w:p>
          <w:p w14:paraId="62EF082E" w14:textId="77777777"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Electrotel</w:t>
            </w:r>
          </w:p>
          <w:p w14:paraId="4CC7AE64" w14:textId="77777777" w:rsidR="003C27D9" w:rsidRDefault="003C27D9"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Acrelec</w:t>
            </w:r>
            <w:r w:rsidRPr="00AD3EE9">
              <w:rPr>
                <w:rFonts w:ascii="Verdana" w:hAnsi="Verdana"/>
                <w:sz w:val="20"/>
                <w:szCs w:val="20"/>
                <w:lang w:val="ro-RO"/>
              </w:rPr>
              <w:t xml:space="preserve"> </w:t>
            </w:r>
          </w:p>
          <w:p w14:paraId="0719C1C1" w14:textId="46232177"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sidRPr="00AD3EE9">
              <w:rPr>
                <w:rFonts w:ascii="Verdana" w:hAnsi="Verdana"/>
                <w:sz w:val="20"/>
                <w:szCs w:val="20"/>
                <w:lang w:val="ro-RO"/>
              </w:rPr>
              <w:t>Pureworld Engineering</w:t>
            </w:r>
            <w:r>
              <w:rPr>
                <w:rFonts w:ascii="Verdana" w:hAnsi="Verdana"/>
                <w:sz w:val="20"/>
                <w:szCs w:val="20"/>
                <w:lang w:val="ro-RO"/>
              </w:rPr>
              <w:t xml:space="preserve"> </w:t>
            </w:r>
          </w:p>
          <w:p w14:paraId="022AB1F4" w14:textId="77777777"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SEA Romania</w:t>
            </w:r>
          </w:p>
          <w:p w14:paraId="3AF990E4" w14:textId="6111FECF" w:rsidR="004A4705" w:rsidRPr="007C4544" w:rsidRDefault="00445A05" w:rsidP="007C4544">
            <w:pPr>
              <w:pStyle w:val="ListParagraph"/>
              <w:numPr>
                <w:ilvl w:val="0"/>
                <w:numId w:val="3"/>
              </w:numPr>
              <w:spacing w:line="276" w:lineRule="auto"/>
              <w:contextualSpacing/>
              <w:jc w:val="both"/>
              <w:rPr>
                <w:rFonts w:ascii="Verdana" w:hAnsi="Verdana"/>
                <w:sz w:val="20"/>
                <w:szCs w:val="20"/>
                <w:lang w:val="ro-RO"/>
              </w:rPr>
            </w:pPr>
            <w:r>
              <w:rPr>
                <w:rFonts w:ascii="Verdana" w:hAnsi="Verdana"/>
                <w:sz w:val="20"/>
                <w:szCs w:val="20"/>
                <w:lang w:val="ro-RO"/>
              </w:rPr>
              <w:t>ViaCon</w:t>
            </w:r>
          </w:p>
        </w:tc>
      </w:tr>
      <w:tr w:rsidR="00445A05" w14:paraId="034591A8" w14:textId="77777777" w:rsidTr="00DC3F3A">
        <w:tc>
          <w:tcPr>
            <w:tcW w:w="4990" w:type="dxa"/>
          </w:tcPr>
          <w:p w14:paraId="74797CC2" w14:textId="77777777" w:rsidR="00445A05" w:rsidRPr="001B7FF5" w:rsidRDefault="00445A05" w:rsidP="00DC3F3A">
            <w:pPr>
              <w:jc w:val="both"/>
              <w:rPr>
                <w:rFonts w:ascii="Verdana" w:hAnsi="Verdana"/>
                <w:sz w:val="20"/>
                <w:szCs w:val="20"/>
                <w:lang w:val="ro-RO"/>
              </w:rPr>
            </w:pPr>
            <w:r w:rsidRPr="001B7FF5">
              <w:rPr>
                <w:rFonts w:ascii="Verdana" w:hAnsi="Verdana"/>
                <w:b/>
                <w:sz w:val="20"/>
                <w:szCs w:val="20"/>
                <w:lang w:val="ro-RO"/>
              </w:rPr>
              <w:t>Academic:</w:t>
            </w:r>
            <w:r w:rsidRPr="001B7FF5">
              <w:rPr>
                <w:rFonts w:ascii="Verdana" w:hAnsi="Verdana"/>
                <w:sz w:val="20"/>
                <w:szCs w:val="20"/>
                <w:lang w:val="ro-RO"/>
              </w:rPr>
              <w:t xml:space="preserve"> </w:t>
            </w:r>
          </w:p>
          <w:p w14:paraId="0F79E67B" w14:textId="77777777" w:rsidR="00C64BC3" w:rsidRPr="00C64BC3" w:rsidRDefault="00445A05" w:rsidP="00C64BC3">
            <w:pPr>
              <w:pStyle w:val="ListParagraph"/>
              <w:numPr>
                <w:ilvl w:val="0"/>
                <w:numId w:val="3"/>
              </w:numPr>
              <w:tabs>
                <w:tab w:val="left" w:pos="157"/>
              </w:tabs>
              <w:spacing w:line="276" w:lineRule="auto"/>
              <w:ind w:left="0" w:firstLine="0"/>
              <w:contextualSpacing/>
              <w:jc w:val="both"/>
              <w:rPr>
                <w:rFonts w:ascii="Verdana" w:hAnsi="Verdana"/>
                <w:sz w:val="20"/>
                <w:szCs w:val="20"/>
                <w:lang w:val="ro-RO"/>
              </w:rPr>
            </w:pPr>
            <w:r>
              <w:rPr>
                <w:rFonts w:ascii="Verdana" w:hAnsi="Verdana"/>
                <w:sz w:val="20"/>
                <w:szCs w:val="20"/>
                <w:lang w:val="ro-RO"/>
              </w:rPr>
              <w:t>Academia Națională de Informații „Mihai Viteazul</w:t>
            </w:r>
            <w:r>
              <w:rPr>
                <w:rFonts w:ascii="Verdana" w:hAnsi="Verdana"/>
                <w:sz w:val="20"/>
                <w:szCs w:val="20"/>
              </w:rPr>
              <w:t>”</w:t>
            </w:r>
          </w:p>
          <w:p w14:paraId="75C20400" w14:textId="4EEDAFB1" w:rsidR="00C64BC3" w:rsidRPr="00C64BC3" w:rsidRDefault="00C64BC3" w:rsidP="00C64BC3">
            <w:pPr>
              <w:pStyle w:val="ListParagraph"/>
              <w:numPr>
                <w:ilvl w:val="0"/>
                <w:numId w:val="3"/>
              </w:numPr>
              <w:tabs>
                <w:tab w:val="left" w:pos="157"/>
              </w:tabs>
              <w:spacing w:line="276" w:lineRule="auto"/>
              <w:ind w:left="0" w:firstLine="0"/>
              <w:contextualSpacing/>
              <w:jc w:val="both"/>
              <w:rPr>
                <w:rFonts w:ascii="Verdana" w:hAnsi="Verdana"/>
                <w:sz w:val="20"/>
                <w:szCs w:val="20"/>
                <w:lang w:val="ro-RO"/>
              </w:rPr>
            </w:pPr>
            <w:r w:rsidRPr="00C64BC3">
              <w:rPr>
                <w:rFonts w:ascii="Verdana" w:hAnsi="Verdana"/>
                <w:sz w:val="20"/>
                <w:szCs w:val="20"/>
                <w:lang w:val="ro-RO"/>
              </w:rPr>
              <w:t>Universitatea Națională de Apărare Carol I</w:t>
            </w:r>
          </w:p>
          <w:p w14:paraId="5CC55084" w14:textId="1CA15EE4" w:rsidR="00445A05" w:rsidRDefault="00445A05" w:rsidP="00445A05">
            <w:pPr>
              <w:pStyle w:val="ListParagraph"/>
              <w:numPr>
                <w:ilvl w:val="0"/>
                <w:numId w:val="3"/>
              </w:numPr>
              <w:tabs>
                <w:tab w:val="left" w:pos="157"/>
              </w:tabs>
              <w:spacing w:line="276" w:lineRule="auto"/>
              <w:ind w:left="0" w:firstLine="0"/>
              <w:contextualSpacing/>
              <w:jc w:val="both"/>
              <w:rPr>
                <w:rFonts w:ascii="Verdana" w:hAnsi="Verdana"/>
                <w:sz w:val="20"/>
                <w:szCs w:val="20"/>
                <w:lang w:val="ro-RO"/>
              </w:rPr>
            </w:pPr>
            <w:r>
              <w:rPr>
                <w:rFonts w:ascii="Verdana" w:hAnsi="Verdana"/>
                <w:sz w:val="20"/>
                <w:szCs w:val="20"/>
                <w:lang w:val="ro-RO"/>
              </w:rPr>
              <w:t xml:space="preserve">Universitatea de Medicină și Farmacie </w:t>
            </w:r>
            <w:r>
              <w:rPr>
                <w:rFonts w:ascii="Verdana" w:hAnsi="Verdana"/>
                <w:sz w:val="20"/>
                <w:szCs w:val="20"/>
              </w:rPr>
              <w:t>“</w:t>
            </w:r>
            <w:r>
              <w:rPr>
                <w:rFonts w:ascii="Verdana" w:hAnsi="Verdana"/>
                <w:sz w:val="20"/>
                <w:szCs w:val="20"/>
                <w:lang w:val="ro-RO"/>
              </w:rPr>
              <w:t>Carol Davila” București</w:t>
            </w:r>
          </w:p>
          <w:p w14:paraId="18AEBB63" w14:textId="77777777" w:rsidR="00445A05" w:rsidRDefault="00445A05" w:rsidP="00445A05">
            <w:pPr>
              <w:pStyle w:val="ListParagraph"/>
              <w:numPr>
                <w:ilvl w:val="0"/>
                <w:numId w:val="3"/>
              </w:numPr>
              <w:tabs>
                <w:tab w:val="left" w:pos="157"/>
              </w:tabs>
              <w:spacing w:line="276" w:lineRule="auto"/>
              <w:ind w:left="0" w:firstLine="0"/>
              <w:contextualSpacing/>
              <w:jc w:val="both"/>
              <w:rPr>
                <w:rFonts w:ascii="Verdana" w:hAnsi="Verdana"/>
                <w:sz w:val="20"/>
                <w:szCs w:val="20"/>
                <w:lang w:val="ro-RO"/>
              </w:rPr>
            </w:pPr>
            <w:r>
              <w:rPr>
                <w:rFonts w:ascii="Verdana" w:hAnsi="Verdana"/>
                <w:sz w:val="20"/>
                <w:szCs w:val="20"/>
                <w:lang w:val="ro-RO"/>
              </w:rPr>
              <w:t>Universitatea Politehnica București</w:t>
            </w:r>
          </w:p>
          <w:p w14:paraId="025779DE" w14:textId="77777777" w:rsidR="00445A05" w:rsidRPr="00BC36B4" w:rsidRDefault="00445A05" w:rsidP="00445A05">
            <w:pPr>
              <w:pStyle w:val="ListParagraph"/>
              <w:numPr>
                <w:ilvl w:val="0"/>
                <w:numId w:val="3"/>
              </w:numPr>
              <w:tabs>
                <w:tab w:val="left" w:pos="157"/>
              </w:tabs>
              <w:spacing w:line="276" w:lineRule="auto"/>
              <w:ind w:left="0" w:firstLine="0"/>
              <w:contextualSpacing/>
              <w:jc w:val="both"/>
              <w:rPr>
                <w:rFonts w:ascii="Verdana" w:hAnsi="Verdana"/>
                <w:sz w:val="20"/>
                <w:szCs w:val="20"/>
                <w:lang w:val="ro-RO"/>
              </w:rPr>
            </w:pPr>
            <w:r w:rsidRPr="00702A4A">
              <w:rPr>
                <w:rFonts w:ascii="Verdana" w:hAnsi="Verdana"/>
                <w:sz w:val="20"/>
                <w:szCs w:val="20"/>
                <w:lang w:val="ro-RO"/>
              </w:rPr>
              <w:t>Universitatea din București</w:t>
            </w:r>
            <w:r>
              <w:rPr>
                <w:rFonts w:ascii="Verdana" w:hAnsi="Verdana"/>
                <w:sz w:val="20"/>
                <w:szCs w:val="20"/>
                <w:lang w:val="ro-RO"/>
              </w:rPr>
              <w:t xml:space="preserve"> - Facultatea de Biologie </w:t>
            </w:r>
          </w:p>
          <w:p w14:paraId="70EAF643" w14:textId="77777777" w:rsidR="00445A05" w:rsidRPr="00D53EF7" w:rsidRDefault="00445A05" w:rsidP="00445A05">
            <w:pPr>
              <w:pStyle w:val="NormalWeb"/>
              <w:numPr>
                <w:ilvl w:val="0"/>
                <w:numId w:val="3"/>
              </w:numPr>
              <w:tabs>
                <w:tab w:val="left" w:pos="157"/>
              </w:tabs>
              <w:spacing w:before="0" w:beforeAutospacing="0" w:after="0" w:afterAutospacing="0" w:line="276" w:lineRule="auto"/>
              <w:ind w:left="0" w:firstLine="0"/>
              <w:jc w:val="both"/>
              <w:rPr>
                <w:rFonts w:ascii="Verdana" w:hAnsi="Verdana"/>
                <w:sz w:val="20"/>
                <w:szCs w:val="20"/>
                <w:lang w:val="ro-RO"/>
              </w:rPr>
            </w:pPr>
            <w:r>
              <w:rPr>
                <w:rFonts w:ascii="Verdana" w:hAnsi="Verdana"/>
                <w:sz w:val="20"/>
                <w:szCs w:val="20"/>
                <w:lang w:val="ro-RO"/>
              </w:rPr>
              <w:t xml:space="preserve">Universitatea de Medicină și Farmacie “Gr. T. Popa” Iași </w:t>
            </w:r>
          </w:p>
        </w:tc>
        <w:tc>
          <w:tcPr>
            <w:tcW w:w="4990" w:type="dxa"/>
          </w:tcPr>
          <w:p w14:paraId="00F66687" w14:textId="79D6276B" w:rsidR="00445A05" w:rsidRPr="00503A22" w:rsidRDefault="00445A05" w:rsidP="00DC3F3A">
            <w:pPr>
              <w:jc w:val="both"/>
              <w:rPr>
                <w:rFonts w:ascii="Verdana" w:hAnsi="Verdana"/>
                <w:sz w:val="20"/>
                <w:szCs w:val="20"/>
                <w:lang w:val="ro-RO"/>
              </w:rPr>
            </w:pPr>
            <w:r>
              <w:rPr>
                <w:rFonts w:ascii="Verdana" w:hAnsi="Verdana"/>
                <w:b/>
                <w:sz w:val="20"/>
                <w:szCs w:val="20"/>
                <w:lang w:val="ro-RO"/>
              </w:rPr>
              <w:t>Public Institutions</w:t>
            </w:r>
            <w:r w:rsidRPr="00503A22">
              <w:rPr>
                <w:rFonts w:ascii="Verdana" w:hAnsi="Verdana"/>
                <w:b/>
                <w:sz w:val="20"/>
                <w:szCs w:val="20"/>
                <w:lang w:val="ro-RO"/>
              </w:rPr>
              <w:t>:</w:t>
            </w:r>
            <w:r w:rsidRPr="00503A22">
              <w:rPr>
                <w:rFonts w:ascii="Verdana" w:hAnsi="Verdana"/>
                <w:sz w:val="20"/>
                <w:szCs w:val="20"/>
                <w:lang w:val="ro-RO"/>
              </w:rPr>
              <w:t xml:space="preserve"> </w:t>
            </w:r>
          </w:p>
          <w:p w14:paraId="07C7E8BE" w14:textId="24482D34" w:rsidR="00445A05" w:rsidRDefault="00445A05" w:rsidP="00445A05">
            <w:pPr>
              <w:pStyle w:val="ListParagraph"/>
              <w:numPr>
                <w:ilvl w:val="0"/>
                <w:numId w:val="3"/>
              </w:numPr>
              <w:spacing w:line="276" w:lineRule="auto"/>
              <w:ind w:left="747"/>
              <w:contextualSpacing/>
              <w:jc w:val="both"/>
              <w:rPr>
                <w:rFonts w:ascii="Verdana" w:hAnsi="Verdana"/>
                <w:sz w:val="20"/>
                <w:szCs w:val="20"/>
                <w:lang w:val="ro-RO"/>
              </w:rPr>
            </w:pPr>
            <w:r>
              <w:rPr>
                <w:rFonts w:ascii="Verdana" w:hAnsi="Verdana"/>
                <w:sz w:val="20"/>
                <w:szCs w:val="20"/>
                <w:lang w:val="ro-RO"/>
              </w:rPr>
              <w:t>Ministerul Economiei</w:t>
            </w:r>
          </w:p>
          <w:p w14:paraId="7FFAE4C6" w14:textId="0CF7125B" w:rsidR="00C64BC3" w:rsidRDefault="00C64BC3" w:rsidP="00C64BC3">
            <w:pPr>
              <w:pStyle w:val="ListParagraph"/>
              <w:numPr>
                <w:ilvl w:val="0"/>
                <w:numId w:val="3"/>
              </w:numPr>
              <w:spacing w:line="276" w:lineRule="auto"/>
              <w:contextualSpacing/>
              <w:jc w:val="both"/>
              <w:rPr>
                <w:rFonts w:ascii="Verdana" w:hAnsi="Verdana"/>
                <w:sz w:val="20"/>
                <w:szCs w:val="20"/>
                <w:lang w:val="ro-RO"/>
              </w:rPr>
            </w:pPr>
            <w:r w:rsidRPr="00C64BC3">
              <w:rPr>
                <w:rFonts w:ascii="Verdana" w:hAnsi="Verdana"/>
                <w:sz w:val="20"/>
                <w:szCs w:val="20"/>
                <w:lang w:val="ro-RO"/>
              </w:rPr>
              <w:t>Registrul Auto Român</w:t>
            </w:r>
            <w:r>
              <w:rPr>
                <w:rFonts w:ascii="Verdana" w:hAnsi="Verdana"/>
                <w:sz w:val="20"/>
                <w:szCs w:val="20"/>
                <w:lang w:val="ro-RO"/>
              </w:rPr>
              <w:t xml:space="preserve"> (RAR)</w:t>
            </w:r>
          </w:p>
          <w:p w14:paraId="7D87E8D9" w14:textId="64533117" w:rsidR="00877B07" w:rsidRDefault="00877B07" w:rsidP="00877B07">
            <w:pPr>
              <w:pStyle w:val="ListParagraph"/>
              <w:numPr>
                <w:ilvl w:val="0"/>
                <w:numId w:val="3"/>
              </w:numPr>
              <w:spacing w:line="276" w:lineRule="auto"/>
              <w:contextualSpacing/>
              <w:jc w:val="both"/>
              <w:rPr>
                <w:rFonts w:ascii="Verdana" w:hAnsi="Verdana"/>
                <w:sz w:val="20"/>
                <w:szCs w:val="20"/>
                <w:lang w:val="ro-RO"/>
              </w:rPr>
            </w:pPr>
            <w:r w:rsidRPr="00877B07">
              <w:rPr>
                <w:rFonts w:ascii="Verdana" w:hAnsi="Verdana"/>
                <w:sz w:val="20"/>
                <w:szCs w:val="20"/>
                <w:lang w:val="ro-RO"/>
              </w:rPr>
              <w:t>Societatea de Transport București</w:t>
            </w:r>
            <w:r>
              <w:rPr>
                <w:rFonts w:ascii="Verdana" w:hAnsi="Verdana"/>
                <w:sz w:val="20"/>
                <w:szCs w:val="20"/>
                <w:lang w:val="ro-RO"/>
              </w:rPr>
              <w:t xml:space="preserve"> (STB)</w:t>
            </w:r>
          </w:p>
          <w:p w14:paraId="1B386E22" w14:textId="77777777" w:rsidR="00445A05" w:rsidRDefault="00445A05" w:rsidP="00445A05">
            <w:pPr>
              <w:pStyle w:val="ListParagraph"/>
              <w:numPr>
                <w:ilvl w:val="0"/>
                <w:numId w:val="3"/>
              </w:numPr>
              <w:spacing w:line="276" w:lineRule="auto"/>
              <w:ind w:left="747"/>
              <w:contextualSpacing/>
              <w:jc w:val="both"/>
              <w:rPr>
                <w:rFonts w:ascii="Verdana" w:hAnsi="Verdana"/>
                <w:sz w:val="20"/>
                <w:szCs w:val="20"/>
                <w:lang w:val="ro-RO"/>
              </w:rPr>
            </w:pPr>
            <w:r>
              <w:rPr>
                <w:rFonts w:ascii="Verdana" w:hAnsi="Verdana"/>
                <w:sz w:val="20"/>
                <w:szCs w:val="20"/>
                <w:lang w:val="ro-RO"/>
              </w:rPr>
              <w:t xml:space="preserve">ISCTR - Inspectoratul de Stat pentru Controlul în Transportul Rutier </w:t>
            </w:r>
          </w:p>
          <w:p w14:paraId="5EE5DAAA" w14:textId="1D6F3430" w:rsidR="00445A05" w:rsidRDefault="00445A05" w:rsidP="00445A05">
            <w:pPr>
              <w:pStyle w:val="ListParagraph"/>
              <w:numPr>
                <w:ilvl w:val="0"/>
                <w:numId w:val="3"/>
              </w:numPr>
              <w:spacing w:line="276" w:lineRule="auto"/>
              <w:ind w:left="747"/>
              <w:contextualSpacing/>
              <w:jc w:val="both"/>
              <w:rPr>
                <w:rFonts w:ascii="Verdana" w:hAnsi="Verdana"/>
                <w:sz w:val="20"/>
                <w:szCs w:val="20"/>
                <w:lang w:val="ro-RO"/>
              </w:rPr>
            </w:pPr>
            <w:r>
              <w:rPr>
                <w:rFonts w:ascii="Verdana" w:hAnsi="Verdana"/>
                <w:sz w:val="20"/>
                <w:szCs w:val="20"/>
                <w:lang w:val="ro-RO"/>
              </w:rPr>
              <w:t>Consiliul Județean Călărași</w:t>
            </w:r>
          </w:p>
          <w:p w14:paraId="4E31DB0C" w14:textId="4DAD564F" w:rsidR="00445A05" w:rsidRDefault="00445A05" w:rsidP="00445A05">
            <w:pPr>
              <w:pStyle w:val="ListParagraph"/>
              <w:numPr>
                <w:ilvl w:val="0"/>
                <w:numId w:val="3"/>
              </w:numPr>
              <w:spacing w:line="276" w:lineRule="auto"/>
              <w:contextualSpacing/>
              <w:jc w:val="both"/>
              <w:rPr>
                <w:rFonts w:ascii="Verdana" w:hAnsi="Verdana"/>
                <w:sz w:val="20"/>
                <w:szCs w:val="20"/>
                <w:lang w:val="ro-RO"/>
              </w:rPr>
            </w:pPr>
            <w:r w:rsidRPr="00445A05">
              <w:rPr>
                <w:rFonts w:ascii="Verdana" w:hAnsi="Verdana"/>
                <w:sz w:val="20"/>
                <w:szCs w:val="20"/>
                <w:lang w:val="ro-RO"/>
              </w:rPr>
              <w:t>Agenţia pentru Dezvoltare Regională Sud Muntenia</w:t>
            </w:r>
          </w:p>
          <w:p w14:paraId="330298D1" w14:textId="77777777" w:rsidR="00445A05" w:rsidRDefault="00445A05" w:rsidP="00445A05">
            <w:pPr>
              <w:pStyle w:val="ListParagraph"/>
              <w:numPr>
                <w:ilvl w:val="0"/>
                <w:numId w:val="3"/>
              </w:numPr>
              <w:spacing w:line="276" w:lineRule="auto"/>
              <w:ind w:left="747"/>
              <w:contextualSpacing/>
              <w:jc w:val="both"/>
              <w:rPr>
                <w:rFonts w:ascii="Verdana" w:hAnsi="Verdana"/>
                <w:sz w:val="20"/>
                <w:szCs w:val="20"/>
                <w:lang w:val="ro-RO"/>
              </w:rPr>
            </w:pPr>
            <w:r>
              <w:rPr>
                <w:rFonts w:ascii="Verdana" w:hAnsi="Verdana"/>
                <w:sz w:val="20"/>
                <w:szCs w:val="20"/>
                <w:lang w:val="ro-RO"/>
              </w:rPr>
              <w:t>Primăria Ploiești</w:t>
            </w:r>
          </w:p>
          <w:p w14:paraId="05AD5F0C" w14:textId="77777777" w:rsidR="00445A05" w:rsidRDefault="00445A05" w:rsidP="00445A05">
            <w:pPr>
              <w:pStyle w:val="ListParagraph"/>
              <w:numPr>
                <w:ilvl w:val="0"/>
                <w:numId w:val="3"/>
              </w:numPr>
              <w:spacing w:line="276" w:lineRule="auto"/>
              <w:ind w:left="747"/>
              <w:contextualSpacing/>
              <w:jc w:val="both"/>
              <w:rPr>
                <w:rFonts w:ascii="Verdana" w:hAnsi="Verdana"/>
                <w:sz w:val="20"/>
                <w:szCs w:val="20"/>
                <w:lang w:val="ro-RO"/>
              </w:rPr>
            </w:pPr>
            <w:r>
              <w:rPr>
                <w:rFonts w:ascii="Verdana" w:hAnsi="Verdana"/>
                <w:sz w:val="20"/>
                <w:szCs w:val="20"/>
                <w:lang w:val="ro-RO"/>
              </w:rPr>
              <w:lastRenderedPageBreak/>
              <w:t>Compania de Utilități Publice Dunărea Brăila</w:t>
            </w:r>
          </w:p>
          <w:p w14:paraId="6D8786A6" w14:textId="792E9BE2" w:rsidR="00445A05" w:rsidRPr="007F109A" w:rsidRDefault="00445A05" w:rsidP="007F109A">
            <w:pPr>
              <w:pStyle w:val="ListParagraph"/>
              <w:numPr>
                <w:ilvl w:val="0"/>
                <w:numId w:val="3"/>
              </w:numPr>
              <w:spacing w:line="276" w:lineRule="auto"/>
              <w:contextualSpacing/>
              <w:jc w:val="both"/>
              <w:rPr>
                <w:rFonts w:ascii="Verdana" w:hAnsi="Verdana"/>
                <w:sz w:val="20"/>
                <w:szCs w:val="20"/>
                <w:lang w:val="ro-RO"/>
              </w:rPr>
            </w:pPr>
            <w:r w:rsidRPr="00363E96">
              <w:rPr>
                <w:rFonts w:ascii="Verdana" w:hAnsi="Verdana"/>
                <w:sz w:val="20"/>
                <w:szCs w:val="20"/>
                <w:lang w:val="ro-RO"/>
              </w:rPr>
              <w:t>DGASPC Sector 3</w:t>
            </w:r>
            <w:r>
              <w:rPr>
                <w:rFonts w:ascii="Verdana" w:hAnsi="Verdana"/>
                <w:sz w:val="20"/>
                <w:szCs w:val="20"/>
                <w:lang w:val="ro-RO"/>
              </w:rPr>
              <w:t xml:space="preserve">  </w:t>
            </w:r>
          </w:p>
        </w:tc>
      </w:tr>
    </w:tbl>
    <w:p w14:paraId="43894D41" w14:textId="77777777" w:rsidR="00445A05" w:rsidRPr="00AD1887" w:rsidRDefault="00445A05" w:rsidP="001A5700">
      <w:pPr>
        <w:spacing w:after="0" w:line="240" w:lineRule="auto"/>
        <w:ind w:left="360"/>
        <w:jc w:val="both"/>
        <w:rPr>
          <w:rFonts w:ascii="Verdana" w:hAnsi="Verdana"/>
          <w:sz w:val="24"/>
          <w:szCs w:val="24"/>
          <w:lang w:val="en-GB"/>
        </w:rPr>
      </w:pPr>
    </w:p>
    <w:p w14:paraId="43B857D3" w14:textId="77777777" w:rsidR="001A5700" w:rsidRPr="00AD1887" w:rsidRDefault="001A5700" w:rsidP="001A5700">
      <w:pPr>
        <w:spacing w:after="0" w:line="240" w:lineRule="auto"/>
        <w:jc w:val="both"/>
        <w:rPr>
          <w:rFonts w:ascii="Verdana" w:hAnsi="Verdana"/>
          <w:b/>
          <w:bCs/>
          <w:color w:val="002060"/>
          <w:sz w:val="20"/>
          <w:szCs w:val="20"/>
          <w:lang w:val="en-GB"/>
        </w:rPr>
      </w:pPr>
    </w:p>
    <w:p w14:paraId="120E1F55" w14:textId="77777777" w:rsidR="001A5700" w:rsidRPr="00AD1887" w:rsidRDefault="001A5700" w:rsidP="001A5700">
      <w:pPr>
        <w:spacing w:after="0" w:line="240" w:lineRule="auto"/>
        <w:jc w:val="both"/>
        <w:rPr>
          <w:rFonts w:ascii="Verdana" w:hAnsi="Verdana"/>
          <w:b/>
          <w:color w:val="C00000"/>
          <w:sz w:val="24"/>
          <w:szCs w:val="24"/>
          <w:lang w:val="en-GB"/>
        </w:rPr>
      </w:pPr>
    </w:p>
    <w:p w14:paraId="42D4C603" w14:textId="77777777" w:rsidR="001A5700" w:rsidRPr="00AD1887" w:rsidRDefault="001A5700" w:rsidP="001A5700">
      <w:pPr>
        <w:pStyle w:val="Heading3"/>
        <w:rPr>
          <w:rFonts w:ascii="Verdana" w:hAnsi="Verdana"/>
          <w:lang w:val="en-GB"/>
        </w:rPr>
      </w:pPr>
      <w:bookmarkStart w:id="4" w:name="_Toc525522962"/>
      <w:bookmarkStart w:id="5" w:name="_Toc525738839"/>
      <w:r w:rsidRPr="00AD1887">
        <w:rPr>
          <w:rFonts w:ascii="Verdana" w:hAnsi="Verdana"/>
          <w:lang w:val="en-GB"/>
        </w:rPr>
        <w:t>IT Certifications and Partnerships with IT Vendors</w:t>
      </w:r>
      <w:bookmarkEnd w:id="4"/>
      <w:bookmarkEnd w:id="5"/>
    </w:p>
    <w:p w14:paraId="77BD3B86" w14:textId="77777777" w:rsidR="001A5700" w:rsidRPr="00AD1887" w:rsidRDefault="001A5700" w:rsidP="001A5700">
      <w:pPr>
        <w:spacing w:after="0" w:line="240" w:lineRule="auto"/>
        <w:jc w:val="both"/>
        <w:rPr>
          <w:rFonts w:ascii="Verdana" w:hAnsi="Verdana"/>
          <w:b/>
          <w:color w:val="C00000"/>
          <w:sz w:val="24"/>
          <w:szCs w:val="24"/>
          <w:lang w:val="en-GB"/>
        </w:rPr>
      </w:pPr>
    </w:p>
    <w:p w14:paraId="31A18D19" w14:textId="67FAA15A" w:rsidR="001A5700" w:rsidRPr="00AD1887" w:rsidRDefault="001A5700" w:rsidP="001A5700">
      <w:pPr>
        <w:pStyle w:val="ListParagraph"/>
        <w:numPr>
          <w:ilvl w:val="0"/>
          <w:numId w:val="1"/>
        </w:numPr>
        <w:contextualSpacing/>
        <w:jc w:val="both"/>
        <w:rPr>
          <w:rFonts w:ascii="Verdana" w:hAnsi="Verdana"/>
          <w:sz w:val="22"/>
          <w:szCs w:val="22"/>
        </w:rPr>
      </w:pPr>
      <w:r w:rsidRPr="009D2553">
        <w:rPr>
          <w:rFonts w:ascii="Verdana" w:hAnsi="Verdana"/>
          <w:b/>
          <w:sz w:val="22"/>
          <w:szCs w:val="22"/>
        </w:rPr>
        <w:t>Microsoft</w:t>
      </w:r>
      <w:r w:rsidRPr="00AD1887">
        <w:rPr>
          <w:rFonts w:ascii="Verdana" w:hAnsi="Verdana"/>
          <w:sz w:val="22"/>
          <w:szCs w:val="22"/>
        </w:rPr>
        <w:t xml:space="preserve"> </w:t>
      </w:r>
      <w:r w:rsidR="009F6A88">
        <w:rPr>
          <w:rFonts w:ascii="Verdana" w:hAnsi="Verdana"/>
          <w:sz w:val="22"/>
          <w:szCs w:val="22"/>
        </w:rPr>
        <w:t xml:space="preserve">Gold </w:t>
      </w:r>
      <w:r w:rsidRPr="00AD1887">
        <w:rPr>
          <w:rFonts w:ascii="Verdana" w:hAnsi="Verdana"/>
          <w:sz w:val="22"/>
          <w:szCs w:val="22"/>
        </w:rPr>
        <w:t>Certified Partner</w:t>
      </w:r>
      <w:r w:rsidRPr="009D2553">
        <w:rPr>
          <w:rFonts w:ascii="Verdana" w:hAnsi="Verdana"/>
          <w:sz w:val="22"/>
          <w:szCs w:val="22"/>
        </w:rPr>
        <w:t>;</w:t>
      </w:r>
    </w:p>
    <w:p w14:paraId="1DAED705" w14:textId="77777777" w:rsidR="001A5700" w:rsidRPr="009D2553" w:rsidRDefault="001A5700" w:rsidP="001A5700">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Oracle</w:t>
      </w:r>
      <w:r w:rsidRPr="009D2553">
        <w:rPr>
          <w:rFonts w:ascii="Verdana" w:eastAsia="Times New Roman" w:hAnsi="Verdana" w:cs="Times New Roman"/>
          <w:lang w:val="en-GB"/>
        </w:rPr>
        <w:t xml:space="preserve"> Gold Partner;</w:t>
      </w:r>
    </w:p>
    <w:p w14:paraId="6C851AB6" w14:textId="77777777" w:rsidR="009D2553" w:rsidRPr="009D2553" w:rsidRDefault="001A5700" w:rsidP="009D2553">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Bitdefender</w:t>
      </w:r>
      <w:r w:rsidRPr="009D2553">
        <w:rPr>
          <w:rFonts w:ascii="Verdana" w:eastAsia="Times New Roman" w:hAnsi="Verdana" w:cs="Times New Roman"/>
          <w:lang w:val="en-GB"/>
        </w:rPr>
        <w:t xml:space="preserve"> Gold Partner;</w:t>
      </w:r>
    </w:p>
    <w:p w14:paraId="41FC4FB4" w14:textId="77777777" w:rsidR="009D2553" w:rsidRPr="009D2553" w:rsidRDefault="001A5700" w:rsidP="009D2553">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Veritas</w:t>
      </w:r>
      <w:r w:rsidR="000F6F85" w:rsidRPr="009D2553">
        <w:rPr>
          <w:rFonts w:ascii="Verdana" w:eastAsia="Times New Roman" w:hAnsi="Verdana" w:cs="Times New Roman"/>
          <w:lang w:val="en-GB"/>
        </w:rPr>
        <w:t xml:space="preserve"> Silver</w:t>
      </w:r>
      <w:r w:rsidRPr="009D2553">
        <w:rPr>
          <w:rFonts w:ascii="Verdana" w:eastAsia="Times New Roman" w:hAnsi="Verdana" w:cs="Times New Roman"/>
          <w:lang w:val="en-GB"/>
        </w:rPr>
        <w:t xml:space="preserve"> Partner;</w:t>
      </w:r>
      <w:r w:rsidR="009D2553" w:rsidRPr="009D2553">
        <w:rPr>
          <w:rFonts w:ascii="Verdana" w:eastAsia="Times New Roman" w:hAnsi="Verdana" w:cs="Times New Roman"/>
          <w:lang w:val="en-GB"/>
        </w:rPr>
        <w:t xml:space="preserve"> </w:t>
      </w:r>
    </w:p>
    <w:p w14:paraId="746102FF" w14:textId="11F77E5C" w:rsidR="001A5700" w:rsidRPr="009D2553" w:rsidRDefault="009D2553" w:rsidP="009D2553">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Veeam</w:t>
      </w:r>
      <w:r w:rsidRPr="009D2553">
        <w:rPr>
          <w:rFonts w:ascii="Verdana" w:eastAsia="Times New Roman" w:hAnsi="Verdana" w:cs="Times New Roman"/>
          <w:lang w:val="en-GB"/>
        </w:rPr>
        <w:t xml:space="preserve"> Silver Service Provider, Registered Reseller;</w:t>
      </w:r>
    </w:p>
    <w:p w14:paraId="1A7C9421" w14:textId="1A8D2995" w:rsidR="000F6F85" w:rsidRPr="009D2553" w:rsidRDefault="000F6F85" w:rsidP="001A5700">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Fortinet</w:t>
      </w:r>
      <w:r w:rsidRPr="009D2553">
        <w:rPr>
          <w:rFonts w:ascii="Verdana" w:eastAsia="Times New Roman" w:hAnsi="Verdana" w:cs="Times New Roman"/>
          <w:lang w:val="en-GB"/>
        </w:rPr>
        <w:t xml:space="preserve"> Silver Partner;</w:t>
      </w:r>
    </w:p>
    <w:p w14:paraId="00FE1617" w14:textId="77777777" w:rsidR="000F6F85" w:rsidRPr="009D2553" w:rsidRDefault="000F6F85" w:rsidP="000F6F85">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Symantec</w:t>
      </w:r>
      <w:r w:rsidRPr="009D2553">
        <w:rPr>
          <w:rFonts w:ascii="Verdana" w:eastAsia="Times New Roman" w:hAnsi="Verdana" w:cs="Times New Roman"/>
          <w:lang w:val="en-GB"/>
        </w:rPr>
        <w:t xml:space="preserve"> Registered Partner;</w:t>
      </w:r>
    </w:p>
    <w:p w14:paraId="218F88AE" w14:textId="77777777" w:rsidR="009D2553" w:rsidRPr="009D2553" w:rsidRDefault="001A5700" w:rsidP="009D2553">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Kaspersky</w:t>
      </w:r>
      <w:r w:rsidRPr="009D2553">
        <w:rPr>
          <w:rFonts w:ascii="Verdana" w:eastAsia="Times New Roman" w:hAnsi="Verdana" w:cs="Times New Roman"/>
          <w:lang w:val="en-GB"/>
        </w:rPr>
        <w:t xml:space="preserve"> Lab Authorized </w:t>
      </w:r>
      <w:r w:rsidR="000F6F85" w:rsidRPr="009D2553">
        <w:rPr>
          <w:rFonts w:ascii="Verdana" w:eastAsia="Times New Roman" w:hAnsi="Verdana" w:cs="Times New Roman"/>
          <w:lang w:val="en-GB"/>
        </w:rPr>
        <w:t>Reseller;</w:t>
      </w:r>
    </w:p>
    <w:p w14:paraId="7E31705D" w14:textId="77777777" w:rsidR="009D2553" w:rsidRPr="009D2553" w:rsidRDefault="001A5700" w:rsidP="009D2553">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Intel</w:t>
      </w:r>
      <w:r w:rsidRPr="009D2553">
        <w:rPr>
          <w:rFonts w:ascii="Verdana" w:eastAsia="Times New Roman" w:hAnsi="Verdana" w:cs="Times New Roman"/>
          <w:lang w:val="en-GB"/>
        </w:rPr>
        <w:t xml:space="preserve"> Technology Provider Registered Partner;</w:t>
      </w:r>
      <w:r w:rsidR="009D2553" w:rsidRPr="009D2553">
        <w:rPr>
          <w:rFonts w:ascii="Verdana" w:eastAsia="Times New Roman" w:hAnsi="Verdana" w:cs="Times New Roman"/>
          <w:lang w:val="en-GB"/>
        </w:rPr>
        <w:t xml:space="preserve"> </w:t>
      </w:r>
    </w:p>
    <w:p w14:paraId="0FEF6235" w14:textId="11475B94" w:rsidR="001A5700" w:rsidRDefault="009D2553" w:rsidP="009D2553">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Fujitsu</w:t>
      </w:r>
      <w:r w:rsidRPr="009D2553">
        <w:rPr>
          <w:rFonts w:ascii="Verdana" w:eastAsia="Times New Roman" w:hAnsi="Verdana" w:cs="Times New Roman"/>
          <w:lang w:val="en-GB"/>
        </w:rPr>
        <w:t xml:space="preserve"> Select Registered Partner;</w:t>
      </w:r>
    </w:p>
    <w:p w14:paraId="799103A5" w14:textId="2EFCAC40" w:rsidR="00840EF5" w:rsidRDefault="00840EF5" w:rsidP="009D2553">
      <w:pPr>
        <w:numPr>
          <w:ilvl w:val="0"/>
          <w:numId w:val="1"/>
        </w:numPr>
        <w:spacing w:after="0" w:line="240" w:lineRule="auto"/>
        <w:jc w:val="both"/>
        <w:rPr>
          <w:rFonts w:ascii="Verdana" w:eastAsia="Times New Roman" w:hAnsi="Verdana" w:cs="Times New Roman"/>
          <w:lang w:val="en-GB"/>
        </w:rPr>
      </w:pPr>
      <w:r>
        <w:rPr>
          <w:rFonts w:ascii="Verdana" w:eastAsia="Times New Roman" w:hAnsi="Verdana" w:cs="Times New Roman"/>
          <w:b/>
          <w:lang w:val="en-GB"/>
        </w:rPr>
        <w:t>HP</w:t>
      </w:r>
      <w:r w:rsidR="009E036B">
        <w:rPr>
          <w:rFonts w:ascii="Verdana" w:eastAsia="Times New Roman" w:hAnsi="Verdana" w:cs="Times New Roman"/>
          <w:b/>
          <w:lang w:val="en-GB"/>
        </w:rPr>
        <w:t xml:space="preserve"> </w:t>
      </w:r>
      <w:r w:rsidR="009E036B" w:rsidRPr="009E036B">
        <w:rPr>
          <w:rFonts w:ascii="Verdana" w:eastAsia="Times New Roman" w:hAnsi="Verdana" w:cs="Times New Roman"/>
          <w:lang w:val="en-GB"/>
        </w:rPr>
        <w:t>and</w:t>
      </w:r>
      <w:r w:rsidR="009E036B">
        <w:rPr>
          <w:rFonts w:ascii="Verdana" w:eastAsia="Times New Roman" w:hAnsi="Verdana" w:cs="Times New Roman"/>
          <w:b/>
          <w:lang w:val="en-GB"/>
        </w:rPr>
        <w:t xml:space="preserve"> Aruba</w:t>
      </w:r>
      <w:r>
        <w:rPr>
          <w:rFonts w:ascii="Verdana" w:eastAsia="Times New Roman" w:hAnsi="Verdana" w:cs="Times New Roman"/>
          <w:b/>
          <w:lang w:val="en-GB"/>
        </w:rPr>
        <w:t xml:space="preserve"> </w:t>
      </w:r>
      <w:r w:rsidR="009E036B" w:rsidRPr="009E036B">
        <w:rPr>
          <w:rFonts w:ascii="Verdana" w:eastAsia="Times New Roman" w:hAnsi="Verdana" w:cs="Times New Roman"/>
          <w:lang w:val="en-GB"/>
        </w:rPr>
        <w:t>Partner</w:t>
      </w:r>
      <w:r w:rsidR="009E036B">
        <w:rPr>
          <w:rFonts w:ascii="Verdana" w:eastAsia="Times New Roman" w:hAnsi="Verdana" w:cs="Times New Roman"/>
          <w:b/>
          <w:lang w:val="en-GB"/>
        </w:rPr>
        <w:t>;</w:t>
      </w:r>
    </w:p>
    <w:p w14:paraId="68518922" w14:textId="4DAF51F3" w:rsidR="009D2553" w:rsidRPr="009D2553" w:rsidRDefault="009D2553" w:rsidP="009D2553">
      <w:pPr>
        <w:numPr>
          <w:ilvl w:val="0"/>
          <w:numId w:val="1"/>
        </w:numPr>
        <w:spacing w:after="0" w:line="240" w:lineRule="auto"/>
        <w:jc w:val="both"/>
        <w:rPr>
          <w:rFonts w:ascii="Verdana" w:eastAsia="Times New Roman" w:hAnsi="Verdana" w:cs="Times New Roman"/>
          <w:lang w:val="en-GB"/>
        </w:rPr>
      </w:pPr>
      <w:r>
        <w:rPr>
          <w:rFonts w:ascii="Verdana" w:eastAsia="Times New Roman" w:hAnsi="Verdana" w:cs="Times New Roman"/>
          <w:b/>
          <w:lang w:val="en-GB"/>
        </w:rPr>
        <w:t xml:space="preserve">Cisco </w:t>
      </w:r>
      <w:r w:rsidRPr="009D2553">
        <w:rPr>
          <w:rFonts w:ascii="Verdana" w:eastAsia="Times New Roman" w:hAnsi="Verdana" w:cs="Times New Roman"/>
          <w:lang w:val="en-GB"/>
        </w:rPr>
        <w:t>Registered Partner</w:t>
      </w:r>
      <w:r>
        <w:rPr>
          <w:rFonts w:ascii="Verdana" w:eastAsia="Times New Roman" w:hAnsi="Verdana" w:cs="Times New Roman"/>
          <w:lang w:val="en-GB"/>
        </w:rPr>
        <w:t>;</w:t>
      </w:r>
    </w:p>
    <w:p w14:paraId="6D9732AA" w14:textId="77777777" w:rsidR="001A5700" w:rsidRPr="009D2553" w:rsidRDefault="001A5700" w:rsidP="001A5700">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Adobe</w:t>
      </w:r>
      <w:r w:rsidRPr="009D2553">
        <w:rPr>
          <w:rFonts w:ascii="Verdana" w:eastAsia="Times New Roman" w:hAnsi="Verdana" w:cs="Times New Roman"/>
          <w:lang w:val="en-GB"/>
        </w:rPr>
        <w:t xml:space="preserve"> Registered Reseller;</w:t>
      </w:r>
    </w:p>
    <w:p w14:paraId="2FC08B19" w14:textId="77777777" w:rsidR="009D2553" w:rsidRPr="009D2553" w:rsidRDefault="001A5700" w:rsidP="009D2553">
      <w:pPr>
        <w:numPr>
          <w:ilvl w:val="0"/>
          <w:numId w:val="1"/>
        </w:numPr>
        <w:spacing w:after="0" w:line="240" w:lineRule="auto"/>
        <w:jc w:val="both"/>
        <w:rPr>
          <w:rFonts w:ascii="Verdana" w:eastAsia="Times New Roman" w:hAnsi="Verdana" w:cs="Times New Roman"/>
          <w:lang w:val="en-GB"/>
        </w:rPr>
      </w:pPr>
      <w:r w:rsidRPr="009D2553">
        <w:rPr>
          <w:rFonts w:ascii="Verdana" w:eastAsia="Times New Roman" w:hAnsi="Verdana" w:cs="Times New Roman"/>
          <w:b/>
          <w:lang w:val="en-GB"/>
        </w:rPr>
        <w:t>APC</w:t>
      </w:r>
      <w:r w:rsidRPr="009D2553">
        <w:rPr>
          <w:rFonts w:ascii="Verdana" w:eastAsia="Times New Roman" w:hAnsi="Verdana" w:cs="Times New Roman"/>
          <w:lang w:val="en-GB"/>
        </w:rPr>
        <w:t xml:space="preserve"> Registered Partner;</w:t>
      </w:r>
    </w:p>
    <w:p w14:paraId="5D933120" w14:textId="455B42C2" w:rsidR="009D2553" w:rsidRPr="009D2553" w:rsidRDefault="009D2553" w:rsidP="009D2553">
      <w:pPr>
        <w:numPr>
          <w:ilvl w:val="0"/>
          <w:numId w:val="1"/>
        </w:numPr>
        <w:spacing w:after="0" w:line="240" w:lineRule="auto"/>
        <w:jc w:val="both"/>
        <w:rPr>
          <w:rFonts w:ascii="Verdana" w:eastAsia="Times New Roman" w:hAnsi="Verdana" w:cs="Times New Roman"/>
          <w:lang w:val="en-GB"/>
        </w:rPr>
      </w:pPr>
      <w:proofErr w:type="spellStart"/>
      <w:r w:rsidRPr="009D2553">
        <w:rPr>
          <w:rFonts w:ascii="Verdana" w:eastAsia="Times New Roman" w:hAnsi="Verdana" w:cs="Times New Roman"/>
          <w:b/>
          <w:lang w:val="en-GB"/>
        </w:rPr>
        <w:t>Teltonika</w:t>
      </w:r>
      <w:proofErr w:type="spellEnd"/>
      <w:r w:rsidRPr="009D2553">
        <w:rPr>
          <w:rFonts w:ascii="Verdana" w:eastAsia="Times New Roman" w:hAnsi="Verdana" w:cs="Times New Roman"/>
          <w:lang w:val="en-GB"/>
        </w:rPr>
        <w:t xml:space="preserve"> Authorized Reseller</w:t>
      </w:r>
      <w:r w:rsidR="00BD380B">
        <w:rPr>
          <w:rFonts w:ascii="Verdana" w:eastAsia="Times New Roman" w:hAnsi="Verdana" w:cs="Times New Roman"/>
          <w:lang w:val="en-GB"/>
        </w:rPr>
        <w:t>.</w:t>
      </w:r>
    </w:p>
    <w:p w14:paraId="113A1864" w14:textId="349D6AAC" w:rsidR="009D2553" w:rsidRDefault="009D2553" w:rsidP="001A5700">
      <w:pPr>
        <w:spacing w:after="0" w:line="240" w:lineRule="auto"/>
        <w:jc w:val="both"/>
        <w:rPr>
          <w:rFonts w:ascii="Verdana" w:hAnsi="Verdana"/>
          <w:b/>
          <w:color w:val="C00000"/>
          <w:sz w:val="24"/>
          <w:szCs w:val="24"/>
          <w:lang w:val="en-GB"/>
        </w:rPr>
      </w:pPr>
    </w:p>
    <w:p w14:paraId="1612160A" w14:textId="77777777" w:rsidR="009D2553" w:rsidRPr="00AD1887" w:rsidRDefault="009D2553" w:rsidP="001A5700">
      <w:pPr>
        <w:spacing w:after="0" w:line="240" w:lineRule="auto"/>
        <w:jc w:val="both"/>
        <w:rPr>
          <w:rFonts w:ascii="Verdana" w:hAnsi="Verdana"/>
          <w:b/>
          <w:color w:val="C00000"/>
          <w:sz w:val="24"/>
          <w:szCs w:val="24"/>
          <w:lang w:val="en-GB"/>
        </w:rPr>
      </w:pPr>
    </w:p>
    <w:p w14:paraId="0848FC7B" w14:textId="77777777" w:rsidR="001A5700" w:rsidRPr="00AD1887" w:rsidRDefault="001A5700" w:rsidP="001A5700">
      <w:pPr>
        <w:pStyle w:val="Heading3"/>
        <w:rPr>
          <w:rFonts w:ascii="Verdana" w:hAnsi="Verdana"/>
          <w:lang w:val="en-GB"/>
        </w:rPr>
      </w:pPr>
      <w:bookmarkStart w:id="6" w:name="_Toc525522963"/>
      <w:bookmarkStart w:id="7" w:name="_Toc525738840"/>
      <w:r w:rsidRPr="00AD1887">
        <w:rPr>
          <w:rFonts w:ascii="Verdana" w:hAnsi="Verdana"/>
          <w:lang w:val="en-GB"/>
        </w:rPr>
        <w:t>ISO Certifications</w:t>
      </w:r>
      <w:bookmarkEnd w:id="6"/>
      <w:bookmarkEnd w:id="7"/>
    </w:p>
    <w:p w14:paraId="730AB9D8" w14:textId="77777777" w:rsidR="001A5700" w:rsidRPr="00AD1887" w:rsidRDefault="001A5700" w:rsidP="001A5700">
      <w:pPr>
        <w:spacing w:after="0" w:line="240" w:lineRule="auto"/>
        <w:ind w:left="360"/>
        <w:jc w:val="both"/>
        <w:rPr>
          <w:rFonts w:ascii="Verdana" w:hAnsi="Verdana"/>
          <w:sz w:val="24"/>
          <w:szCs w:val="24"/>
          <w:lang w:val="en-GB"/>
        </w:rPr>
      </w:pPr>
    </w:p>
    <w:p w14:paraId="7D889863" w14:textId="77777777" w:rsidR="001A5700" w:rsidRPr="00AD1887" w:rsidRDefault="001A5700" w:rsidP="001A5700">
      <w:pPr>
        <w:pStyle w:val="ListParagraph"/>
        <w:numPr>
          <w:ilvl w:val="0"/>
          <w:numId w:val="1"/>
        </w:numPr>
        <w:contextualSpacing/>
        <w:jc w:val="both"/>
        <w:rPr>
          <w:rFonts w:ascii="Verdana" w:hAnsi="Verdana"/>
          <w:sz w:val="22"/>
          <w:szCs w:val="22"/>
        </w:rPr>
      </w:pPr>
      <w:r w:rsidRPr="00AD1887">
        <w:rPr>
          <w:rFonts w:ascii="Verdana" w:hAnsi="Verdana"/>
          <w:sz w:val="22"/>
          <w:szCs w:val="22"/>
        </w:rPr>
        <w:t xml:space="preserve">Quality Management System </w:t>
      </w:r>
      <w:r w:rsidRPr="00AD1887">
        <w:rPr>
          <w:rFonts w:ascii="Verdana" w:hAnsi="Verdana"/>
          <w:sz w:val="22"/>
          <w:szCs w:val="22"/>
          <w:u w:val="single"/>
        </w:rPr>
        <w:t>ISO 9001</w:t>
      </w:r>
      <w:r w:rsidRPr="00AD1887">
        <w:rPr>
          <w:rFonts w:ascii="Verdana" w:hAnsi="Verdana"/>
          <w:sz w:val="22"/>
          <w:szCs w:val="22"/>
        </w:rPr>
        <w:t>:2008;</w:t>
      </w:r>
    </w:p>
    <w:p w14:paraId="7C4B1728" w14:textId="77777777" w:rsidR="001A5700" w:rsidRPr="00AD1887" w:rsidRDefault="001A5700" w:rsidP="001A5700">
      <w:pPr>
        <w:pStyle w:val="ListParagraph"/>
        <w:numPr>
          <w:ilvl w:val="0"/>
          <w:numId w:val="1"/>
        </w:numPr>
        <w:contextualSpacing/>
        <w:jc w:val="both"/>
        <w:rPr>
          <w:rFonts w:ascii="Verdana" w:hAnsi="Verdana"/>
          <w:sz w:val="22"/>
          <w:szCs w:val="22"/>
        </w:rPr>
      </w:pPr>
      <w:r w:rsidRPr="00AD1887">
        <w:rPr>
          <w:rFonts w:ascii="Verdana" w:hAnsi="Verdana"/>
          <w:sz w:val="22"/>
          <w:szCs w:val="22"/>
        </w:rPr>
        <w:t xml:space="preserve">Information Security Management System </w:t>
      </w:r>
      <w:r w:rsidRPr="00AD1887">
        <w:rPr>
          <w:rFonts w:ascii="Verdana" w:hAnsi="Verdana"/>
          <w:sz w:val="22"/>
          <w:szCs w:val="22"/>
          <w:u w:val="single"/>
        </w:rPr>
        <w:t>ISO 27001</w:t>
      </w:r>
      <w:r w:rsidRPr="00AD1887">
        <w:rPr>
          <w:rFonts w:ascii="Verdana" w:hAnsi="Verdana"/>
          <w:sz w:val="22"/>
          <w:szCs w:val="22"/>
        </w:rPr>
        <w:t>:2006;</w:t>
      </w:r>
    </w:p>
    <w:p w14:paraId="67C449D9" w14:textId="77777777" w:rsidR="001A5700" w:rsidRPr="00AD1887" w:rsidRDefault="001A5700" w:rsidP="001A5700">
      <w:pPr>
        <w:pStyle w:val="ListParagraph"/>
        <w:numPr>
          <w:ilvl w:val="0"/>
          <w:numId w:val="1"/>
        </w:numPr>
        <w:contextualSpacing/>
        <w:jc w:val="both"/>
        <w:rPr>
          <w:rFonts w:ascii="Verdana" w:hAnsi="Verdana"/>
          <w:sz w:val="22"/>
          <w:szCs w:val="22"/>
        </w:rPr>
      </w:pPr>
      <w:r w:rsidRPr="00AD1887">
        <w:rPr>
          <w:rFonts w:ascii="Verdana" w:hAnsi="Verdana"/>
          <w:sz w:val="22"/>
          <w:szCs w:val="22"/>
        </w:rPr>
        <w:t xml:space="preserve">Environmental Management System </w:t>
      </w:r>
      <w:r w:rsidRPr="00AD1887">
        <w:rPr>
          <w:rFonts w:ascii="Verdana" w:hAnsi="Verdana"/>
          <w:sz w:val="22"/>
          <w:szCs w:val="22"/>
          <w:u w:val="single"/>
        </w:rPr>
        <w:t>ISO 14001</w:t>
      </w:r>
      <w:r w:rsidRPr="00AD1887">
        <w:rPr>
          <w:rFonts w:ascii="Verdana" w:hAnsi="Verdana"/>
          <w:sz w:val="22"/>
          <w:szCs w:val="22"/>
        </w:rPr>
        <w:t>:2005;</w:t>
      </w:r>
    </w:p>
    <w:p w14:paraId="7051EE75" w14:textId="77777777" w:rsidR="001A5700" w:rsidRPr="00AD1887" w:rsidRDefault="001A5700" w:rsidP="001A5700">
      <w:pPr>
        <w:pStyle w:val="ListParagraph"/>
        <w:numPr>
          <w:ilvl w:val="0"/>
          <w:numId w:val="1"/>
        </w:numPr>
        <w:contextualSpacing/>
        <w:jc w:val="both"/>
        <w:rPr>
          <w:rFonts w:ascii="Verdana" w:hAnsi="Verdana"/>
          <w:sz w:val="22"/>
          <w:szCs w:val="22"/>
        </w:rPr>
      </w:pPr>
      <w:r w:rsidRPr="00AD1887">
        <w:rPr>
          <w:rFonts w:ascii="Verdana" w:hAnsi="Verdana"/>
          <w:sz w:val="22"/>
          <w:szCs w:val="22"/>
        </w:rPr>
        <w:t xml:space="preserve">Services Management System </w:t>
      </w:r>
      <w:r w:rsidRPr="00AD1887">
        <w:rPr>
          <w:rFonts w:ascii="Verdana" w:hAnsi="Verdana"/>
          <w:sz w:val="22"/>
          <w:szCs w:val="22"/>
          <w:u w:val="single"/>
        </w:rPr>
        <w:t>ISO 20000-1</w:t>
      </w:r>
      <w:r w:rsidRPr="00AD1887">
        <w:rPr>
          <w:rFonts w:ascii="Verdana" w:hAnsi="Verdana"/>
          <w:sz w:val="22"/>
          <w:szCs w:val="22"/>
        </w:rPr>
        <w:t>:2011.</w:t>
      </w:r>
    </w:p>
    <w:p w14:paraId="1235FC89" w14:textId="77777777" w:rsidR="00F31899" w:rsidRDefault="00F31899"/>
    <w:sectPr w:rsidR="00F31899" w:rsidSect="00941EEE">
      <w:headerReference w:type="default" r:id="rId9"/>
      <w:footerReference w:type="default" r:id="rId10"/>
      <w:pgSz w:w="12240" w:h="15840"/>
      <w:pgMar w:top="144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B8F3" w14:textId="77777777" w:rsidR="0062524D" w:rsidRDefault="0062524D" w:rsidP="0025448C">
      <w:pPr>
        <w:spacing w:after="0" w:line="240" w:lineRule="auto"/>
      </w:pPr>
      <w:r>
        <w:separator/>
      </w:r>
    </w:p>
  </w:endnote>
  <w:endnote w:type="continuationSeparator" w:id="0">
    <w:p w14:paraId="79235F8B" w14:textId="77777777" w:rsidR="0062524D" w:rsidRDefault="0062524D" w:rsidP="0025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00508"/>
      <w:docPartObj>
        <w:docPartGallery w:val="Page Numbers (Bottom of Page)"/>
        <w:docPartUnique/>
      </w:docPartObj>
    </w:sdtPr>
    <w:sdtEndPr>
      <w:rPr>
        <w:noProof/>
      </w:rPr>
    </w:sdtEndPr>
    <w:sdtContent>
      <w:p w14:paraId="06999939" w14:textId="1154D77F" w:rsidR="00F363E0" w:rsidRDefault="00F363E0">
        <w:pPr>
          <w:pStyle w:val="Footer"/>
          <w:jc w:val="right"/>
        </w:pPr>
        <w:r>
          <w:fldChar w:fldCharType="begin"/>
        </w:r>
        <w:r>
          <w:instrText xml:space="preserve"> PAGE   \* MERGEFORMAT </w:instrText>
        </w:r>
        <w:r>
          <w:fldChar w:fldCharType="separate"/>
        </w:r>
        <w:r w:rsidR="005A5555">
          <w:rPr>
            <w:noProof/>
          </w:rPr>
          <w:t>5</w:t>
        </w:r>
        <w:r>
          <w:rPr>
            <w:noProof/>
          </w:rPr>
          <w:fldChar w:fldCharType="end"/>
        </w:r>
      </w:p>
    </w:sdtContent>
  </w:sdt>
  <w:p w14:paraId="0F819971" w14:textId="77777777" w:rsidR="00F363E0" w:rsidRDefault="00F363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EA2F1" w14:textId="77777777" w:rsidR="0062524D" w:rsidRDefault="0062524D" w:rsidP="0025448C">
      <w:pPr>
        <w:spacing w:after="0" w:line="240" w:lineRule="auto"/>
      </w:pPr>
      <w:r>
        <w:separator/>
      </w:r>
    </w:p>
  </w:footnote>
  <w:footnote w:type="continuationSeparator" w:id="0">
    <w:p w14:paraId="115349F3" w14:textId="77777777" w:rsidR="0062524D" w:rsidRDefault="0062524D" w:rsidP="0025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F942" w14:textId="648B2E1D" w:rsidR="005068A8" w:rsidRDefault="005068A8">
    <w:pPr>
      <w:pStyle w:val="Header"/>
    </w:pPr>
    <w:r>
      <w:rPr>
        <w:noProof/>
        <w:color w:val="000000"/>
      </w:rPr>
      <w:drawing>
        <wp:inline distT="0" distB="0" distL="0" distR="0" wp14:anchorId="2CD7C4FF" wp14:editId="08D3E28A">
          <wp:extent cx="5943600" cy="856615"/>
          <wp:effectExtent l="0" t="0" r="0" b="0"/>
          <wp:docPr id="7" name="Picture 7" descr="antet_edita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edita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56615"/>
                  </a:xfrm>
                  <a:prstGeom prst="rect">
                    <a:avLst/>
                  </a:prstGeom>
                  <a:noFill/>
                  <a:ln>
                    <a:noFill/>
                  </a:ln>
                </pic:spPr>
              </pic:pic>
            </a:graphicData>
          </a:graphic>
        </wp:inline>
      </w:drawing>
    </w:r>
  </w:p>
  <w:p w14:paraId="5DFED0CF" w14:textId="77777777" w:rsidR="0025448C" w:rsidRDefault="002544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759"/>
    <w:multiLevelType w:val="hybridMultilevel"/>
    <w:tmpl w:val="D9066A2E"/>
    <w:lvl w:ilvl="0" w:tplc="0418000B">
      <w:start w:val="1"/>
      <w:numFmt w:val="bullet"/>
      <w:lvlText w:val=""/>
      <w:lvlJc w:val="left"/>
      <w:pPr>
        <w:tabs>
          <w:tab w:val="num" w:pos="360"/>
        </w:tabs>
        <w:ind w:left="360" w:hanging="360"/>
      </w:pPr>
      <w:rPr>
        <w:rFonts w:ascii="Wingdings" w:hAnsi="Wingdings" w:hint="default"/>
      </w:rPr>
    </w:lvl>
    <w:lvl w:ilvl="1" w:tplc="C0CE28A8" w:tentative="1">
      <w:start w:val="1"/>
      <w:numFmt w:val="bullet"/>
      <w:lvlText w:val="•"/>
      <w:lvlJc w:val="left"/>
      <w:pPr>
        <w:tabs>
          <w:tab w:val="num" w:pos="1080"/>
        </w:tabs>
        <w:ind w:left="1080" w:hanging="360"/>
      </w:pPr>
      <w:rPr>
        <w:rFonts w:ascii="Arial" w:hAnsi="Arial" w:hint="default"/>
      </w:rPr>
    </w:lvl>
    <w:lvl w:ilvl="2" w:tplc="147A08C4" w:tentative="1">
      <w:start w:val="1"/>
      <w:numFmt w:val="bullet"/>
      <w:lvlText w:val="•"/>
      <w:lvlJc w:val="left"/>
      <w:pPr>
        <w:tabs>
          <w:tab w:val="num" w:pos="1800"/>
        </w:tabs>
        <w:ind w:left="1800" w:hanging="360"/>
      </w:pPr>
      <w:rPr>
        <w:rFonts w:ascii="Arial" w:hAnsi="Arial" w:hint="default"/>
      </w:rPr>
    </w:lvl>
    <w:lvl w:ilvl="3" w:tplc="B218DD94" w:tentative="1">
      <w:start w:val="1"/>
      <w:numFmt w:val="bullet"/>
      <w:lvlText w:val="•"/>
      <w:lvlJc w:val="left"/>
      <w:pPr>
        <w:tabs>
          <w:tab w:val="num" w:pos="2520"/>
        </w:tabs>
        <w:ind w:left="2520" w:hanging="360"/>
      </w:pPr>
      <w:rPr>
        <w:rFonts w:ascii="Arial" w:hAnsi="Arial" w:hint="default"/>
      </w:rPr>
    </w:lvl>
    <w:lvl w:ilvl="4" w:tplc="06B00B70" w:tentative="1">
      <w:start w:val="1"/>
      <w:numFmt w:val="bullet"/>
      <w:lvlText w:val="•"/>
      <w:lvlJc w:val="left"/>
      <w:pPr>
        <w:tabs>
          <w:tab w:val="num" w:pos="3240"/>
        </w:tabs>
        <w:ind w:left="3240" w:hanging="360"/>
      </w:pPr>
      <w:rPr>
        <w:rFonts w:ascii="Arial" w:hAnsi="Arial" w:hint="default"/>
      </w:rPr>
    </w:lvl>
    <w:lvl w:ilvl="5" w:tplc="19BA335A" w:tentative="1">
      <w:start w:val="1"/>
      <w:numFmt w:val="bullet"/>
      <w:lvlText w:val="•"/>
      <w:lvlJc w:val="left"/>
      <w:pPr>
        <w:tabs>
          <w:tab w:val="num" w:pos="3960"/>
        </w:tabs>
        <w:ind w:left="3960" w:hanging="360"/>
      </w:pPr>
      <w:rPr>
        <w:rFonts w:ascii="Arial" w:hAnsi="Arial" w:hint="default"/>
      </w:rPr>
    </w:lvl>
    <w:lvl w:ilvl="6" w:tplc="7D8E472C" w:tentative="1">
      <w:start w:val="1"/>
      <w:numFmt w:val="bullet"/>
      <w:lvlText w:val="•"/>
      <w:lvlJc w:val="left"/>
      <w:pPr>
        <w:tabs>
          <w:tab w:val="num" w:pos="4680"/>
        </w:tabs>
        <w:ind w:left="4680" w:hanging="360"/>
      </w:pPr>
      <w:rPr>
        <w:rFonts w:ascii="Arial" w:hAnsi="Arial" w:hint="default"/>
      </w:rPr>
    </w:lvl>
    <w:lvl w:ilvl="7" w:tplc="F9BC68E2" w:tentative="1">
      <w:start w:val="1"/>
      <w:numFmt w:val="bullet"/>
      <w:lvlText w:val="•"/>
      <w:lvlJc w:val="left"/>
      <w:pPr>
        <w:tabs>
          <w:tab w:val="num" w:pos="5400"/>
        </w:tabs>
        <w:ind w:left="5400" w:hanging="360"/>
      </w:pPr>
      <w:rPr>
        <w:rFonts w:ascii="Arial" w:hAnsi="Arial" w:hint="default"/>
      </w:rPr>
    </w:lvl>
    <w:lvl w:ilvl="8" w:tplc="36801D3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671723E4"/>
    <w:multiLevelType w:val="hybridMultilevel"/>
    <w:tmpl w:val="1CB6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22E8E"/>
    <w:multiLevelType w:val="hybridMultilevel"/>
    <w:tmpl w:val="725EDD92"/>
    <w:lvl w:ilvl="0" w:tplc="66C066F2">
      <w:start w:val="118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00"/>
    <w:rsid w:val="00065BBD"/>
    <w:rsid w:val="00087157"/>
    <w:rsid w:val="000D36F2"/>
    <w:rsid w:val="000F6F85"/>
    <w:rsid w:val="00185661"/>
    <w:rsid w:val="001A5700"/>
    <w:rsid w:val="0025448C"/>
    <w:rsid w:val="003C27D9"/>
    <w:rsid w:val="00445A05"/>
    <w:rsid w:val="00482500"/>
    <w:rsid w:val="004A4705"/>
    <w:rsid w:val="004D6519"/>
    <w:rsid w:val="005068A8"/>
    <w:rsid w:val="00510D78"/>
    <w:rsid w:val="005953DB"/>
    <w:rsid w:val="005A5555"/>
    <w:rsid w:val="006049F7"/>
    <w:rsid w:val="0062524D"/>
    <w:rsid w:val="00794907"/>
    <w:rsid w:val="007C4544"/>
    <w:rsid w:val="007F109A"/>
    <w:rsid w:val="00820F16"/>
    <w:rsid w:val="00840EF5"/>
    <w:rsid w:val="00855C0B"/>
    <w:rsid w:val="00877B07"/>
    <w:rsid w:val="008C1F5B"/>
    <w:rsid w:val="009148D5"/>
    <w:rsid w:val="00926384"/>
    <w:rsid w:val="00941EEE"/>
    <w:rsid w:val="00963B7D"/>
    <w:rsid w:val="009D2553"/>
    <w:rsid w:val="009E036B"/>
    <w:rsid w:val="009F6A88"/>
    <w:rsid w:val="00A21739"/>
    <w:rsid w:val="00AA6A04"/>
    <w:rsid w:val="00AC4185"/>
    <w:rsid w:val="00B239C6"/>
    <w:rsid w:val="00BD380B"/>
    <w:rsid w:val="00C64BC3"/>
    <w:rsid w:val="00CC5187"/>
    <w:rsid w:val="00F31899"/>
    <w:rsid w:val="00F3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9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00"/>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1A5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5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7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5700"/>
    <w:rPr>
      <w:rFonts w:asciiTheme="majorHAnsi" w:eastAsiaTheme="majorEastAsia" w:hAnsiTheme="majorHAnsi" w:cstheme="majorBidi"/>
      <w:color w:val="1F3763" w:themeColor="accent1" w:themeShade="7F"/>
      <w:sz w:val="24"/>
      <w:szCs w:val="24"/>
    </w:rPr>
  </w:style>
  <w:style w:type="paragraph" w:styleId="ListParagraph">
    <w:name w:val="List Paragraph"/>
    <w:aliases w:val="lp1,Heading x1,body 2,Cablenet"/>
    <w:basedOn w:val="Normal"/>
    <w:link w:val="ListParagraphChar"/>
    <w:uiPriority w:val="34"/>
    <w:qFormat/>
    <w:rsid w:val="001A5700"/>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aliases w:val="lp1 Char,Heading x1 Char,body 2 Char,Cablenet Char"/>
    <w:basedOn w:val="DefaultParagraphFont"/>
    <w:link w:val="ListParagraph"/>
    <w:uiPriority w:val="34"/>
    <w:locked/>
    <w:rsid w:val="001A570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5448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5448C"/>
    <w:rPr>
      <w:rFonts w:eastAsiaTheme="minorEastAsia"/>
    </w:rPr>
  </w:style>
  <w:style w:type="paragraph" w:styleId="Footer">
    <w:name w:val="footer"/>
    <w:basedOn w:val="Normal"/>
    <w:link w:val="FooterChar"/>
    <w:uiPriority w:val="99"/>
    <w:unhideWhenUsed/>
    <w:rsid w:val="002544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448C"/>
    <w:rPr>
      <w:rFonts w:eastAsiaTheme="minorEastAsia"/>
    </w:rPr>
  </w:style>
  <w:style w:type="paragraph" w:styleId="NormalWeb">
    <w:name w:val="Normal (Web)"/>
    <w:basedOn w:val="Normal"/>
    <w:uiPriority w:val="99"/>
    <w:rsid w:val="00445A05"/>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39"/>
    <w:rsid w:val="0044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3"/>
    <w:rsid w:val="001413B5"/>
    <w:rsid w:val="005C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158BAA8E7D464B813A8FA922C1C01A">
    <w:name w:val="D7158BAA8E7D464B813A8FA922C1C01A"/>
    <w:rsid w:val="005C1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2019-08-23T17:55:00Z</dcterms:created>
  <dcterms:modified xsi:type="dcterms:W3CDTF">2019-08-23T18:26:00Z</dcterms:modified>
</cp:coreProperties>
</file>