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B3E7" w14:textId="4D657C2E" w:rsidR="00831AE8" w:rsidRDefault="00831AE8" w:rsidP="00D131FB">
      <w:pPr>
        <w:pStyle w:val="Body"/>
        <w:spacing w:after="0" w:line="240" w:lineRule="auto"/>
        <w:jc w:val="center"/>
        <w:rPr>
          <w:b/>
          <w:bCs/>
        </w:rPr>
      </w:pPr>
    </w:p>
    <w:p w14:paraId="157DF90E" w14:textId="77777777" w:rsidR="00831AE8" w:rsidRDefault="00831AE8" w:rsidP="00D131FB">
      <w:pPr>
        <w:pStyle w:val="Body"/>
        <w:spacing w:after="0" w:line="240" w:lineRule="auto"/>
        <w:jc w:val="center"/>
        <w:rPr>
          <w:b/>
          <w:bCs/>
        </w:rPr>
      </w:pPr>
    </w:p>
    <w:p w14:paraId="59386B27" w14:textId="77777777" w:rsidR="00313CB7" w:rsidRDefault="00313CB7" w:rsidP="00D131FB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14:paraId="252D75DF" w14:textId="78C92FB7" w:rsidR="00AF4BCA" w:rsidRPr="00831AE8" w:rsidRDefault="00547C4C" w:rsidP="00D131FB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 w:rsidRPr="00831AE8">
        <w:rPr>
          <w:b/>
          <w:bCs/>
          <w:sz w:val="28"/>
          <w:szCs w:val="28"/>
        </w:rPr>
        <w:t>NICE A</w:t>
      </w:r>
      <w:r w:rsidRPr="00831AE8">
        <w:rPr>
          <w:b/>
          <w:bCs/>
          <w:sz w:val="28"/>
          <w:szCs w:val="28"/>
          <w:lang w:val="en-US"/>
        </w:rPr>
        <w:t xml:space="preserve">trial Fibrillation (AF) guidelines 2021 </w:t>
      </w:r>
      <w:r w:rsidRPr="00831AE8">
        <w:rPr>
          <w:b/>
          <w:bCs/>
          <w:sz w:val="28"/>
          <w:szCs w:val="28"/>
        </w:rPr>
        <w:t xml:space="preserve">– </w:t>
      </w:r>
      <w:r w:rsidRPr="00831AE8">
        <w:rPr>
          <w:b/>
          <w:bCs/>
          <w:sz w:val="28"/>
          <w:szCs w:val="28"/>
          <w:lang w:val="en-US"/>
        </w:rPr>
        <w:t>So, what</w:t>
      </w:r>
      <w:r w:rsidRPr="00831AE8">
        <w:rPr>
          <w:b/>
          <w:bCs/>
          <w:sz w:val="28"/>
          <w:szCs w:val="28"/>
          <w:rtl/>
        </w:rPr>
        <w:t>’</w:t>
      </w:r>
      <w:r w:rsidRPr="00831AE8">
        <w:rPr>
          <w:b/>
          <w:bCs/>
          <w:sz w:val="28"/>
          <w:szCs w:val="28"/>
          <w:lang w:val="en-US"/>
        </w:rPr>
        <w:t>s new?</w:t>
      </w:r>
    </w:p>
    <w:p w14:paraId="52B8EFE4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1BD7ED2D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 xml:space="preserve">Professor Ahmet </w:t>
      </w:r>
      <w:proofErr w:type="spellStart"/>
      <w:r w:rsidRPr="00D131FB">
        <w:rPr>
          <w:b/>
          <w:bCs/>
          <w:lang w:val="en-US"/>
        </w:rPr>
        <w:t>Fuat</w:t>
      </w:r>
      <w:proofErr w:type="spellEnd"/>
    </w:p>
    <w:p w14:paraId="45B287AD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 xml:space="preserve">GPSI Cardiology, Darlington and Professor of Primary Care Cardiology, Durham University </w:t>
      </w:r>
    </w:p>
    <w:p w14:paraId="7F6776F4" w14:textId="6D0BD7C1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>Education and Research Lead, PCCS</w:t>
      </w:r>
    </w:p>
    <w:p w14:paraId="4B838AAB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667EF54C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>Helen Williams</w:t>
      </w:r>
    </w:p>
    <w:p w14:paraId="2F954E09" w14:textId="40984D66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 xml:space="preserve">Consultant Pharmacist for </w:t>
      </w:r>
      <w:r w:rsidR="00125A30" w:rsidRPr="00D131FB">
        <w:rPr>
          <w:b/>
          <w:bCs/>
          <w:lang w:val="en-US"/>
        </w:rPr>
        <w:t>C</w:t>
      </w:r>
      <w:r w:rsidR="00125A30">
        <w:rPr>
          <w:b/>
          <w:bCs/>
          <w:lang w:val="en-US"/>
        </w:rPr>
        <w:t>ardiovascular Di</w:t>
      </w:r>
      <w:r w:rsidR="005537C4">
        <w:rPr>
          <w:b/>
          <w:bCs/>
          <w:lang w:val="en-US"/>
        </w:rPr>
        <w:t>s</w:t>
      </w:r>
      <w:r w:rsidR="00125A30">
        <w:rPr>
          <w:b/>
          <w:bCs/>
          <w:lang w:val="en-US"/>
        </w:rPr>
        <w:t>ease</w:t>
      </w:r>
      <w:r w:rsidRPr="00D131FB">
        <w:rPr>
          <w:b/>
          <w:bCs/>
          <w:lang w:val="en-US"/>
        </w:rPr>
        <w:t>, S</w:t>
      </w:r>
      <w:r w:rsidR="00125A30">
        <w:rPr>
          <w:b/>
          <w:bCs/>
          <w:lang w:val="en-US"/>
        </w:rPr>
        <w:t xml:space="preserve">outh </w:t>
      </w:r>
      <w:r w:rsidRPr="00D131FB">
        <w:rPr>
          <w:b/>
          <w:bCs/>
          <w:lang w:val="en-US"/>
        </w:rPr>
        <w:t>E</w:t>
      </w:r>
      <w:r w:rsidR="00125A30">
        <w:rPr>
          <w:b/>
          <w:bCs/>
          <w:lang w:val="en-US"/>
        </w:rPr>
        <w:t xml:space="preserve">ast </w:t>
      </w:r>
      <w:r w:rsidRPr="00D131FB">
        <w:rPr>
          <w:b/>
          <w:bCs/>
          <w:lang w:val="en-US"/>
        </w:rPr>
        <w:t>L</w:t>
      </w:r>
      <w:r w:rsidR="00125A30">
        <w:rPr>
          <w:b/>
          <w:bCs/>
          <w:lang w:val="en-US"/>
        </w:rPr>
        <w:t>ondon</w:t>
      </w:r>
      <w:r w:rsidRPr="00D131FB">
        <w:rPr>
          <w:b/>
          <w:bCs/>
          <w:lang w:val="en-US"/>
        </w:rPr>
        <w:t xml:space="preserve"> CCG</w:t>
      </w:r>
    </w:p>
    <w:p w14:paraId="0DDF788E" w14:textId="77777777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t>Secretary, PCCS</w:t>
      </w:r>
    </w:p>
    <w:p w14:paraId="246D0D40" w14:textId="77777777" w:rsidR="00D131FB" w:rsidRDefault="00D131FB" w:rsidP="00D131FB">
      <w:pPr>
        <w:pStyle w:val="Body"/>
        <w:spacing w:after="0" w:line="240" w:lineRule="auto"/>
        <w:rPr>
          <w:lang w:val="en-US"/>
        </w:rPr>
      </w:pPr>
    </w:p>
    <w:p w14:paraId="5C0FB2AB" w14:textId="5380F0DA" w:rsidR="00AF4BCA" w:rsidRDefault="00547C4C" w:rsidP="00D131FB">
      <w:pPr>
        <w:pStyle w:val="Body"/>
        <w:spacing w:after="0" w:line="240" w:lineRule="auto"/>
        <w:rPr>
          <w:b/>
          <w:bCs/>
        </w:rPr>
      </w:pPr>
      <w:r>
        <w:rPr>
          <w:lang w:val="en-US"/>
        </w:rPr>
        <w:t>The revised NICE AF guidelines were published on April 27</w:t>
      </w:r>
      <w:r>
        <w:rPr>
          <w:vertAlign w:val="superscript"/>
          <w:lang w:val="en-US"/>
        </w:rPr>
        <w:t>th</w:t>
      </w:r>
      <w:r w:rsidR="005537C4">
        <w:rPr>
          <w:lang w:val="en-US"/>
        </w:rPr>
        <w:t>, 2021</w:t>
      </w:r>
      <w:r>
        <w:rPr>
          <w:lang w:val="en-US"/>
        </w:rPr>
        <w:t xml:space="preserve"> and recommend some changes to practice which will affect primary care.  </w:t>
      </w:r>
    </w:p>
    <w:p w14:paraId="67AB7605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61462EF9" w14:textId="23537B80" w:rsidR="00AF4BCA" w:rsidRDefault="00547C4C" w:rsidP="00D131FB">
      <w:pPr>
        <w:pStyle w:val="Body"/>
        <w:spacing w:after="0" w:line="240" w:lineRule="auto"/>
      </w:pPr>
      <w:r>
        <w:rPr>
          <w:b/>
          <w:bCs/>
          <w:lang w:val="en-US"/>
        </w:rPr>
        <w:t xml:space="preserve">Diagnosis: </w:t>
      </w:r>
      <w:r>
        <w:rPr>
          <w:lang w:val="en-US"/>
        </w:rPr>
        <w:t>Perform manual pulse palpation if AF suspected. Perform 12</w:t>
      </w:r>
      <w:r w:rsidR="001122C5">
        <w:rPr>
          <w:lang w:val="en-US"/>
        </w:rPr>
        <w:t>-</w:t>
      </w:r>
      <w:r>
        <w:rPr>
          <w:lang w:val="en-US"/>
        </w:rPr>
        <w:t>lead ECG in people with an irregular pulse, with or without symptoms, to diagnose AF. If paroxysmal AF is suspected use 24-hour ambulatory ECG monitor if episodes &lt;24 hours or 24-hour ambulatory ECG, event recorder or other ECG technology for an appropriate period if episodes &gt;24 hours apart.</w:t>
      </w:r>
    </w:p>
    <w:p w14:paraId="7CA39601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5C84F307" w14:textId="54B5A38F" w:rsidR="00AF4BCA" w:rsidRDefault="00547C4C" w:rsidP="00D131FB">
      <w:pPr>
        <w:pStyle w:val="Body"/>
        <w:spacing w:after="0" w:line="240" w:lineRule="auto"/>
      </w:pPr>
      <w:r>
        <w:rPr>
          <w:b/>
          <w:bCs/>
          <w:lang w:val="en-US"/>
        </w:rPr>
        <w:t xml:space="preserve">People presenting acutely with AF: </w:t>
      </w:r>
      <w:r>
        <w:rPr>
          <w:lang w:val="en-US"/>
        </w:rPr>
        <w:t>If new onset AF with life</w:t>
      </w:r>
      <w:r w:rsidR="001122C5">
        <w:rPr>
          <w:lang w:val="en-US"/>
        </w:rPr>
        <w:t>-</w:t>
      </w:r>
      <w:r>
        <w:rPr>
          <w:lang w:val="en-US"/>
        </w:rPr>
        <w:t xml:space="preserve">threatening </w:t>
      </w:r>
      <w:proofErr w:type="spellStart"/>
      <w:r>
        <w:rPr>
          <w:lang w:val="en-US"/>
        </w:rPr>
        <w:t>haemodynamic</w:t>
      </w:r>
      <w:proofErr w:type="spellEnd"/>
      <w:r>
        <w:rPr>
          <w:lang w:val="en-US"/>
        </w:rPr>
        <w:t xml:space="preserve"> instability then refer for emergency electrical cardio</w:t>
      </w:r>
      <w:r w:rsidR="005537C4">
        <w:rPr>
          <w:lang w:val="en-US"/>
        </w:rPr>
        <w:t>v</w:t>
      </w:r>
      <w:r>
        <w:rPr>
          <w:lang w:val="en-US"/>
        </w:rPr>
        <w:t xml:space="preserve">ersion without delaying to achieve anticoagulation. </w:t>
      </w:r>
      <w:r w:rsidR="005537C4">
        <w:rPr>
          <w:lang w:val="en-US"/>
        </w:rPr>
        <w:t>For n</w:t>
      </w:r>
      <w:r>
        <w:rPr>
          <w:lang w:val="en-US"/>
        </w:rPr>
        <w:t xml:space="preserve">ew onset AF without life-threatening </w:t>
      </w:r>
      <w:proofErr w:type="spellStart"/>
      <w:r>
        <w:rPr>
          <w:lang w:val="en-US"/>
        </w:rPr>
        <w:t>haemodynamic</w:t>
      </w:r>
      <w:proofErr w:type="spellEnd"/>
      <w:r>
        <w:rPr>
          <w:lang w:val="en-US"/>
        </w:rPr>
        <w:t xml:space="preserve"> instability </w:t>
      </w:r>
      <w:r w:rsidR="005537C4">
        <w:rPr>
          <w:lang w:val="en-US"/>
        </w:rPr>
        <w:t xml:space="preserve">lasting </w:t>
      </w:r>
      <w:r>
        <w:rPr>
          <w:lang w:val="en-US"/>
        </w:rPr>
        <w:t>&lt;48 hours</w:t>
      </w:r>
      <w:r w:rsidR="005537C4">
        <w:rPr>
          <w:lang w:val="en-US"/>
        </w:rPr>
        <w:t xml:space="preserve">, assess </w:t>
      </w:r>
      <w:r w:rsidR="005537C4">
        <w:t>CHA2DS2VASc score and</w:t>
      </w:r>
      <w:r>
        <w:rPr>
          <w:lang w:val="en-US"/>
        </w:rPr>
        <w:t xml:space="preserve"> offer anticoagulation</w:t>
      </w:r>
      <w:r w:rsidR="005537C4">
        <w:rPr>
          <w:lang w:val="en-US"/>
        </w:rPr>
        <w:t xml:space="preserve"> where indicated plus e</w:t>
      </w:r>
      <w:r>
        <w:rPr>
          <w:lang w:val="en-US"/>
        </w:rPr>
        <w:t>ither rate or rhythm control.  If onset &gt;48 hours</w:t>
      </w:r>
      <w:r w:rsidR="005537C4">
        <w:rPr>
          <w:lang w:val="en-US"/>
        </w:rPr>
        <w:t>,</w:t>
      </w:r>
      <w:r>
        <w:rPr>
          <w:lang w:val="en-US"/>
        </w:rPr>
        <w:t xml:space="preserve"> offer anticoagulation </w:t>
      </w:r>
      <w:r w:rsidR="005537C4">
        <w:rPr>
          <w:lang w:val="en-US"/>
        </w:rPr>
        <w:t xml:space="preserve">where indicated </w:t>
      </w:r>
      <w:r>
        <w:rPr>
          <w:lang w:val="en-US"/>
        </w:rPr>
        <w:t>and rate control.</w:t>
      </w:r>
    </w:p>
    <w:p w14:paraId="70B049EB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38FF19CB" w14:textId="40851B27" w:rsidR="00AF4BCA" w:rsidRDefault="00547C4C" w:rsidP="00D131FB">
      <w:pPr>
        <w:pStyle w:val="Body"/>
        <w:spacing w:after="0" w:line="240" w:lineRule="auto"/>
      </w:pPr>
      <w:r>
        <w:rPr>
          <w:b/>
          <w:bCs/>
          <w:lang w:val="en-US"/>
        </w:rPr>
        <w:t xml:space="preserve">Stroke </w:t>
      </w:r>
      <w:r w:rsidR="009542A1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isk </w:t>
      </w:r>
      <w:r w:rsidR="009542A1">
        <w:rPr>
          <w:b/>
          <w:bCs/>
          <w:lang w:val="en-US"/>
        </w:rPr>
        <w:t>a</w:t>
      </w:r>
      <w:r>
        <w:rPr>
          <w:b/>
          <w:bCs/>
          <w:lang w:val="en-US"/>
        </w:rPr>
        <w:t>ssessment:</w:t>
      </w:r>
      <w:r>
        <w:rPr>
          <w:lang w:val="en-US"/>
        </w:rPr>
        <w:t xml:space="preserve"> While stroke risk assessment remains the same, using </w:t>
      </w:r>
      <w:bookmarkStart w:id="0" w:name="_Hlk71529484"/>
      <w:r>
        <w:rPr>
          <w:lang w:val="en-US"/>
        </w:rPr>
        <w:t>CHA</w:t>
      </w:r>
      <w:r w:rsidRPr="00D131FB">
        <w:rPr>
          <w:vertAlign w:val="subscript"/>
          <w:lang w:val="en-US"/>
        </w:rPr>
        <w:t>2</w:t>
      </w:r>
      <w:r>
        <w:rPr>
          <w:lang w:val="en-US"/>
        </w:rPr>
        <w:t>DS</w:t>
      </w:r>
      <w:r w:rsidRPr="00D131FB">
        <w:rPr>
          <w:vertAlign w:val="subscript"/>
          <w:lang w:val="en-US"/>
        </w:rPr>
        <w:t>2</w:t>
      </w:r>
      <w:r>
        <w:rPr>
          <w:lang w:val="en-US"/>
        </w:rPr>
        <w:t>VASc,</w:t>
      </w:r>
      <w:bookmarkEnd w:id="0"/>
      <w:r>
        <w:rPr>
          <w:lang w:val="en-US"/>
        </w:rPr>
        <w:t xml:space="preserve"> NICE recommend</w:t>
      </w:r>
      <w:r w:rsidR="005537C4">
        <w:rPr>
          <w:lang w:val="en-US"/>
        </w:rPr>
        <w:t>s</w:t>
      </w:r>
      <w:r>
        <w:rPr>
          <w:lang w:val="en-US"/>
        </w:rPr>
        <w:t xml:space="preserve"> this is undertake</w:t>
      </w:r>
      <w:r w:rsidR="00D131FB">
        <w:rPr>
          <w:lang w:val="en-US"/>
        </w:rPr>
        <w:t>n</w:t>
      </w:r>
      <w:r>
        <w:rPr>
          <w:lang w:val="en-US"/>
        </w:rPr>
        <w:t xml:space="preserve"> for all patients with any form of AF (symptomatic or asymptomatic paroxysmal, </w:t>
      </w:r>
      <w:r w:rsidR="005537C4">
        <w:rPr>
          <w:lang w:val="en-US"/>
        </w:rPr>
        <w:t>persistent,</w:t>
      </w:r>
      <w:r>
        <w:rPr>
          <w:lang w:val="en-US"/>
        </w:rPr>
        <w:t xml:space="preserve"> or permanent), as well as in those with </w:t>
      </w:r>
      <w:r w:rsidR="005537C4">
        <w:rPr>
          <w:lang w:val="en-US"/>
        </w:rPr>
        <w:t>a</w:t>
      </w:r>
      <w:r>
        <w:rPr>
          <w:lang w:val="en-US"/>
        </w:rPr>
        <w:t xml:space="preserve">trial flutter. The guidance recommends that </w:t>
      </w:r>
      <w:r w:rsidR="006A234B">
        <w:rPr>
          <w:lang w:val="en-US"/>
        </w:rPr>
        <w:t xml:space="preserve">stroke </w:t>
      </w:r>
      <w:r>
        <w:rPr>
          <w:lang w:val="en-US"/>
        </w:rPr>
        <w:t xml:space="preserve">risk assessment should </w:t>
      </w:r>
      <w:r w:rsidRPr="006A234B">
        <w:rPr>
          <w:lang w:val="en-US"/>
        </w:rPr>
        <w:t>also</w:t>
      </w:r>
      <w:r>
        <w:rPr>
          <w:lang w:val="en-US"/>
        </w:rPr>
        <w:t xml:space="preserve"> be undertaken</w:t>
      </w:r>
      <w:r w:rsidR="001C21BD">
        <w:rPr>
          <w:lang w:val="en-US"/>
        </w:rPr>
        <w:t xml:space="preserve"> </w:t>
      </w:r>
      <w:r>
        <w:rPr>
          <w:lang w:val="en-US"/>
        </w:rPr>
        <w:t>if there is continuing risk of arrhythmia recurrence after cardioversion back to sinus rhythm or catheter ablation.</w:t>
      </w:r>
    </w:p>
    <w:p w14:paraId="381FA79B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2D8D5245" w14:textId="4B642800" w:rsidR="00AF4BCA" w:rsidRDefault="00547C4C" w:rsidP="00D131FB">
      <w:pPr>
        <w:pStyle w:val="Body"/>
        <w:spacing w:after="0" w:line="240" w:lineRule="auto"/>
        <w:rPr>
          <w:lang w:val="en-US"/>
        </w:rPr>
      </w:pPr>
      <w:r>
        <w:rPr>
          <w:b/>
          <w:bCs/>
          <w:lang w:val="en-US"/>
        </w:rPr>
        <w:t>Bleeding risk assessment:</w:t>
      </w:r>
      <w:r>
        <w:rPr>
          <w:lang w:val="en-US"/>
        </w:rPr>
        <w:t xml:space="preserve"> Bleeding risk assessment should be undertaken when considering starting anticoagulation in people with atrial fibrillation and when reviewing people already taking anticoagulation.   However, NICE recommend</w:t>
      </w:r>
      <w:r w:rsidR="005537C4">
        <w:rPr>
          <w:lang w:val="en-US"/>
        </w:rPr>
        <w:t>s</w:t>
      </w:r>
      <w:r>
        <w:rPr>
          <w:lang w:val="en-US"/>
        </w:rPr>
        <w:t xml:space="preserve"> a move away from the HASBLED risk score and endorse the ORBIT bleeding risk score as it was felt to have a higher accuracy than other tools in predicting bleeding risk</w:t>
      </w:r>
      <w:r>
        <w:t>. O</w:t>
      </w:r>
      <w:r w:rsidR="005537C4">
        <w:t>RBIT-AF</w:t>
      </w:r>
      <w:r>
        <w:t xml:space="preserve"> </w:t>
      </w:r>
      <w:proofErr w:type="spellStart"/>
      <w:r w:rsidR="005537C4">
        <w:t>assesses</w:t>
      </w:r>
      <w:proofErr w:type="spellEnd"/>
      <w:r>
        <w:rPr>
          <w:lang w:val="en-US"/>
        </w:rPr>
        <w:t xml:space="preserve"> risk </w:t>
      </w:r>
      <w:proofErr w:type="gramStart"/>
      <w:r w:rsidR="005537C4">
        <w:rPr>
          <w:lang w:val="en-US"/>
        </w:rPr>
        <w:t>using:</w:t>
      </w:r>
      <w:proofErr w:type="gramEnd"/>
      <w:r>
        <w:rPr>
          <w:lang w:val="en-US"/>
        </w:rPr>
        <w:t xml:space="preserve"> </w:t>
      </w:r>
      <w:r w:rsidR="005537C4">
        <w:rPr>
          <w:lang w:val="en-US"/>
        </w:rPr>
        <w:t>s</w:t>
      </w:r>
      <w:r>
        <w:rPr>
          <w:lang w:val="en-US"/>
        </w:rPr>
        <w:t xml:space="preserve">ex,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13mg/dl or </w:t>
      </w:r>
      <w:proofErr w:type="spellStart"/>
      <w:r>
        <w:rPr>
          <w:lang w:val="en-US"/>
        </w:rPr>
        <w:t>haematocrit</w:t>
      </w:r>
      <w:proofErr w:type="spellEnd"/>
      <w:r>
        <w:rPr>
          <w:lang w:val="en-US"/>
        </w:rPr>
        <w:t>&lt;40%, age over 74 y</w:t>
      </w:r>
      <w:r w:rsidR="005537C4">
        <w:rPr>
          <w:lang w:val="en-US"/>
        </w:rPr>
        <w:t>ea</w:t>
      </w:r>
      <w:r>
        <w:rPr>
          <w:lang w:val="en-US"/>
        </w:rPr>
        <w:t>rs, history of bleeding, CKD stage three or greater and concomitant u</w:t>
      </w:r>
      <w:r w:rsidR="001C21BD">
        <w:rPr>
          <w:lang w:val="en-US"/>
        </w:rPr>
        <w:t xml:space="preserve">se of antiplatelet therapies. </w:t>
      </w:r>
      <w:r>
        <w:rPr>
          <w:lang w:val="en-US"/>
        </w:rPr>
        <w:t>NICE indicate</w:t>
      </w:r>
      <w:r w:rsidR="005537C4">
        <w:rPr>
          <w:lang w:val="en-US"/>
        </w:rPr>
        <w:t>s</w:t>
      </w:r>
      <w:r>
        <w:rPr>
          <w:lang w:val="en-US"/>
        </w:rPr>
        <w:t xml:space="preserve"> that clinicians should wait until ORBIT</w:t>
      </w:r>
      <w:r w:rsidR="005537C4">
        <w:rPr>
          <w:lang w:val="en-US"/>
        </w:rPr>
        <w:t>-AF</w:t>
      </w:r>
      <w:r>
        <w:rPr>
          <w:lang w:val="en-US"/>
        </w:rPr>
        <w:t xml:space="preserve"> has been incorporated into IT systems, before switching from their existing bleeding risk assessment tool.  </w:t>
      </w:r>
    </w:p>
    <w:p w14:paraId="21205492" w14:textId="5CFF407E" w:rsidR="006A234B" w:rsidRDefault="006A234B" w:rsidP="00D131FB">
      <w:pPr>
        <w:pStyle w:val="Body"/>
        <w:spacing w:after="0" w:line="240" w:lineRule="auto"/>
      </w:pPr>
    </w:p>
    <w:p w14:paraId="4759FA7D" w14:textId="61EB69A5" w:rsidR="006A234B" w:rsidRDefault="006A234B" w:rsidP="00D131FB">
      <w:pPr>
        <w:pStyle w:val="Body"/>
        <w:spacing w:after="0" w:line="240" w:lineRule="auto"/>
      </w:pPr>
    </w:p>
    <w:p w14:paraId="1F40CFC9" w14:textId="14701AA1" w:rsidR="006A234B" w:rsidRDefault="006A234B" w:rsidP="00D131FB">
      <w:pPr>
        <w:pStyle w:val="Body"/>
        <w:spacing w:after="0" w:line="240" w:lineRule="auto"/>
      </w:pPr>
    </w:p>
    <w:p w14:paraId="2BBA4657" w14:textId="242945C2" w:rsidR="006A234B" w:rsidRDefault="006A234B" w:rsidP="00D131FB">
      <w:pPr>
        <w:pStyle w:val="Body"/>
        <w:spacing w:after="0" w:line="240" w:lineRule="auto"/>
      </w:pPr>
    </w:p>
    <w:p w14:paraId="60AB593C" w14:textId="77777777" w:rsidR="00313CB7" w:rsidRDefault="00313CB7" w:rsidP="006A234B">
      <w:pPr>
        <w:pStyle w:val="Body"/>
        <w:spacing w:after="0" w:line="240" w:lineRule="auto"/>
        <w:rPr>
          <w:b/>
          <w:bCs/>
        </w:rPr>
      </w:pPr>
    </w:p>
    <w:p w14:paraId="7FAC2A54" w14:textId="77777777" w:rsidR="00313CB7" w:rsidRDefault="00313CB7" w:rsidP="006A234B">
      <w:pPr>
        <w:pStyle w:val="Body"/>
        <w:spacing w:after="0" w:line="240" w:lineRule="auto"/>
        <w:rPr>
          <w:b/>
          <w:bCs/>
        </w:rPr>
      </w:pPr>
    </w:p>
    <w:p w14:paraId="70458CCF" w14:textId="77777777" w:rsidR="00313CB7" w:rsidRDefault="00313CB7" w:rsidP="006A234B">
      <w:pPr>
        <w:pStyle w:val="Body"/>
        <w:spacing w:after="0" w:line="240" w:lineRule="auto"/>
        <w:rPr>
          <w:b/>
          <w:bCs/>
        </w:rPr>
      </w:pPr>
    </w:p>
    <w:p w14:paraId="762DD9D2" w14:textId="77777777" w:rsidR="00313CB7" w:rsidRDefault="00313CB7" w:rsidP="006A234B">
      <w:pPr>
        <w:pStyle w:val="Body"/>
        <w:spacing w:after="0" w:line="240" w:lineRule="auto"/>
        <w:rPr>
          <w:b/>
          <w:bCs/>
        </w:rPr>
      </w:pPr>
    </w:p>
    <w:p w14:paraId="1B187175" w14:textId="77777777" w:rsidR="00313CB7" w:rsidRDefault="00313CB7" w:rsidP="006A234B">
      <w:pPr>
        <w:pStyle w:val="Body"/>
        <w:spacing w:after="0" w:line="240" w:lineRule="auto"/>
        <w:rPr>
          <w:b/>
          <w:bCs/>
        </w:rPr>
      </w:pPr>
    </w:p>
    <w:p w14:paraId="0F1A234E" w14:textId="769EBEBA" w:rsidR="00313CB7" w:rsidRDefault="00313CB7" w:rsidP="006A234B">
      <w:pPr>
        <w:pStyle w:val="Body"/>
        <w:spacing w:after="0" w:line="240" w:lineRule="auto"/>
        <w:rPr>
          <w:b/>
          <w:bCs/>
        </w:rPr>
      </w:pPr>
      <w:bookmarkStart w:id="1" w:name="_GoBack"/>
      <w:bookmarkEnd w:id="1"/>
    </w:p>
    <w:p w14:paraId="6976FB90" w14:textId="27695622" w:rsidR="006A234B" w:rsidRPr="006A234B" w:rsidRDefault="006A234B" w:rsidP="006A234B">
      <w:pPr>
        <w:pStyle w:val="Body"/>
        <w:spacing w:after="0" w:line="240" w:lineRule="auto"/>
      </w:pPr>
      <w:r w:rsidRPr="006A234B">
        <w:rPr>
          <w:b/>
          <w:bCs/>
        </w:rPr>
        <w:lastRenderedPageBreak/>
        <w:t xml:space="preserve">ORBIT-AF </w:t>
      </w:r>
      <w:proofErr w:type="spellStart"/>
      <w:r w:rsidRPr="006A234B">
        <w:rPr>
          <w:b/>
          <w:bCs/>
        </w:rPr>
        <w:t>Bleeding</w:t>
      </w:r>
      <w:proofErr w:type="spellEnd"/>
      <w:r w:rsidRPr="006A234B">
        <w:rPr>
          <w:b/>
          <w:bCs/>
        </w:rPr>
        <w:t xml:space="preserve"> </w:t>
      </w:r>
      <w:proofErr w:type="spellStart"/>
      <w:r w:rsidRPr="006A234B">
        <w:rPr>
          <w:b/>
          <w:bCs/>
        </w:rPr>
        <w:t>risk</w:t>
      </w:r>
      <w:proofErr w:type="spellEnd"/>
      <w:r w:rsidRPr="006A234B">
        <w:rPr>
          <w:b/>
          <w:bCs/>
        </w:rPr>
        <w:t xml:space="preserve"> score </w:t>
      </w:r>
      <w:r w:rsidRPr="006A234B">
        <w:rPr>
          <w:b/>
          <w:bCs/>
          <w:lang w:val="en-GB"/>
        </w:rPr>
        <w:t>categories</w:t>
      </w:r>
      <w:r w:rsidRPr="006A234B">
        <w:rPr>
          <w:b/>
          <w:bCs/>
        </w:rPr>
        <w:t xml:space="preserve"> and </w:t>
      </w:r>
      <w:proofErr w:type="spellStart"/>
      <w:r w:rsidRPr="006A234B">
        <w:rPr>
          <w:b/>
          <w:bCs/>
        </w:rPr>
        <w:t>observed</w:t>
      </w:r>
      <w:proofErr w:type="spellEnd"/>
      <w:r w:rsidRPr="006A234B">
        <w:rPr>
          <w:b/>
          <w:bCs/>
        </w:rPr>
        <w:t xml:space="preserve"> major </w:t>
      </w:r>
      <w:proofErr w:type="spellStart"/>
      <w:r w:rsidRPr="006A234B">
        <w:rPr>
          <w:b/>
          <w:bCs/>
        </w:rPr>
        <w:t>bleeding</w:t>
      </w:r>
      <w:proofErr w:type="spellEnd"/>
      <w:r w:rsidRPr="006A234B">
        <w:rPr>
          <w:b/>
          <w:bCs/>
        </w:rPr>
        <w:t xml:space="preserve"> rates </w:t>
      </w:r>
    </w:p>
    <w:p w14:paraId="01854619" w14:textId="7906F5C1" w:rsidR="006A234B" w:rsidRDefault="006A234B" w:rsidP="00D131FB">
      <w:pPr>
        <w:pStyle w:val="Body"/>
        <w:spacing w:after="0" w:line="240" w:lineRule="auto"/>
        <w:rPr>
          <w:lang w:val="pt-PT"/>
        </w:rPr>
      </w:pPr>
      <w:r>
        <w:rPr>
          <w:noProof/>
          <w:lang w:val="en-GB"/>
        </w:rPr>
        <w:drawing>
          <wp:inline distT="0" distB="0" distL="0" distR="0" wp14:anchorId="0E6B6B7B" wp14:editId="7C1C2F2C">
            <wp:extent cx="4394200" cy="1657350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1380C9" w14:textId="34FF6DC0" w:rsidR="00AF4BCA" w:rsidRDefault="00547C4C" w:rsidP="00D131FB">
      <w:pPr>
        <w:pStyle w:val="Body"/>
        <w:spacing w:after="0" w:line="240" w:lineRule="auto"/>
        <w:rPr>
          <w:lang w:val="pt-PT"/>
        </w:rPr>
      </w:pPr>
      <w:r>
        <w:rPr>
          <w:lang w:val="pt-PT"/>
        </w:rPr>
        <w:t>Circulation. 2014;130:A18832</w:t>
      </w:r>
    </w:p>
    <w:p w14:paraId="1A9554F1" w14:textId="77777777" w:rsidR="001C21BD" w:rsidRDefault="001C21BD" w:rsidP="00D131FB">
      <w:pPr>
        <w:pStyle w:val="Body"/>
        <w:spacing w:after="0" w:line="240" w:lineRule="auto"/>
      </w:pPr>
    </w:p>
    <w:p w14:paraId="6C406A05" w14:textId="36189C50" w:rsidR="00AF4BCA" w:rsidRDefault="00547C4C" w:rsidP="00D131FB">
      <w:pPr>
        <w:pStyle w:val="Body"/>
        <w:spacing w:after="0" w:line="240" w:lineRule="auto"/>
      </w:pPr>
      <w:r>
        <w:rPr>
          <w:lang w:val="en-US"/>
        </w:rPr>
        <w:t xml:space="preserve">NICE also points to the need to address modifiable risk factors for bleeding, including uncontrolled hypertension, poor control of international </w:t>
      </w:r>
      <w:proofErr w:type="spellStart"/>
      <w:r>
        <w:rPr>
          <w:lang w:val="en-US"/>
        </w:rPr>
        <w:t>normalised</w:t>
      </w:r>
      <w:proofErr w:type="spellEnd"/>
      <w:r>
        <w:rPr>
          <w:lang w:val="en-US"/>
        </w:rPr>
        <w:t xml:space="preserve"> ratio (INR) in patients on vitamin K antagonists, concurrent medication, including </w:t>
      </w:r>
      <w:proofErr w:type="spellStart"/>
      <w:r>
        <w:rPr>
          <w:lang w:val="en-US"/>
        </w:rPr>
        <w:t>antiplatelets</w:t>
      </w:r>
      <w:proofErr w:type="spellEnd"/>
      <w:r>
        <w:rPr>
          <w:lang w:val="en-US"/>
        </w:rPr>
        <w:t xml:space="preserve">, selective serotonin reuptake inhibitors (SSRIs) and non-steroidal anti-inflammatory drugs (NSAIDs), harmful alcohol consumption and reversible causes of </w:t>
      </w:r>
      <w:proofErr w:type="spellStart"/>
      <w:r>
        <w:rPr>
          <w:lang w:val="en-US"/>
        </w:rPr>
        <w:t>anaemia</w:t>
      </w:r>
      <w:proofErr w:type="spellEnd"/>
      <w:r>
        <w:rPr>
          <w:lang w:val="en-US"/>
        </w:rPr>
        <w:t xml:space="preserve">. </w:t>
      </w:r>
    </w:p>
    <w:p w14:paraId="1F104DD2" w14:textId="77777777" w:rsidR="00D131FB" w:rsidRDefault="00D131FB" w:rsidP="00D131FB">
      <w:pPr>
        <w:pStyle w:val="Body"/>
        <w:spacing w:after="0" w:line="240" w:lineRule="auto"/>
        <w:rPr>
          <w:b/>
          <w:bCs/>
        </w:rPr>
      </w:pPr>
    </w:p>
    <w:p w14:paraId="7E303B32" w14:textId="68C2A0AE" w:rsidR="00AF4BCA" w:rsidRDefault="00D131FB" w:rsidP="00D131FB">
      <w:pPr>
        <w:pStyle w:val="Body"/>
        <w:spacing w:after="0" w:line="240" w:lineRule="auto"/>
      </w:pPr>
      <w:proofErr w:type="gramStart"/>
      <w:r>
        <w:rPr>
          <w:b/>
          <w:bCs/>
        </w:rPr>
        <w:t>Anticoagulation:</w:t>
      </w:r>
      <w:proofErr w:type="gramEnd"/>
      <w:r w:rsidR="00547C4C">
        <w:rPr>
          <w:lang w:val="pt-PT"/>
        </w:rPr>
        <w:t xml:space="preserve">  As </w:t>
      </w:r>
      <w:r w:rsidR="00547C4C">
        <w:rPr>
          <w:lang w:val="en-US"/>
        </w:rPr>
        <w:t xml:space="preserve">previously, anticoagulation should be offered to people with a </w:t>
      </w:r>
      <w:r>
        <w:rPr>
          <w:lang w:val="en-US"/>
        </w:rPr>
        <w:t>CHA</w:t>
      </w:r>
      <w:r w:rsidRPr="00D131FB">
        <w:rPr>
          <w:vertAlign w:val="subscript"/>
          <w:lang w:val="en-US"/>
        </w:rPr>
        <w:t>2</w:t>
      </w:r>
      <w:r>
        <w:rPr>
          <w:lang w:val="en-US"/>
        </w:rPr>
        <w:t>DS</w:t>
      </w:r>
      <w:r w:rsidRPr="00D131FB">
        <w:rPr>
          <w:vertAlign w:val="subscript"/>
          <w:lang w:val="en-US"/>
        </w:rPr>
        <w:t>2</w:t>
      </w:r>
      <w:r>
        <w:rPr>
          <w:lang w:val="en-US"/>
        </w:rPr>
        <w:t xml:space="preserve">VASc </w:t>
      </w:r>
      <w:r w:rsidR="00547C4C">
        <w:rPr>
          <w:lang w:val="en-US"/>
        </w:rPr>
        <w:t xml:space="preserve">score of </w:t>
      </w:r>
      <w:r w:rsidR="00547C4C">
        <w:t>≥</w:t>
      </w:r>
      <w:r w:rsidR="00547C4C">
        <w:rPr>
          <w:lang w:val="en-US"/>
        </w:rPr>
        <w:t>2 and be considered for men with a score = 1.  However, NICE now recommend</w:t>
      </w:r>
      <w:r w:rsidR="005537C4">
        <w:rPr>
          <w:lang w:val="en-US"/>
        </w:rPr>
        <w:t>s</w:t>
      </w:r>
      <w:r w:rsidR="00547C4C">
        <w:rPr>
          <w:lang w:val="en-US"/>
        </w:rPr>
        <w:t xml:space="preserve"> a direct oral anticoagulant (DOAC) as the first line anticoagulant for stroke prevention in AF</w:t>
      </w:r>
      <w:r w:rsidR="001C21BD">
        <w:rPr>
          <w:lang w:val="en-US"/>
        </w:rPr>
        <w:t>,</w:t>
      </w:r>
      <w:r w:rsidR="00547C4C">
        <w:rPr>
          <w:lang w:val="en-US"/>
        </w:rPr>
        <w:t xml:space="preserve"> in preference to warfarin or other vitamin K antagonists (VKA). No specific DOAC is preferred and all should be used in line with their respective NICE technology appraisal.   </w:t>
      </w:r>
    </w:p>
    <w:p w14:paraId="6B8A5EDA" w14:textId="77777777" w:rsidR="00D131FB" w:rsidRDefault="00D131FB" w:rsidP="00D131FB">
      <w:pPr>
        <w:pStyle w:val="Body"/>
        <w:spacing w:after="0" w:line="240" w:lineRule="auto"/>
        <w:rPr>
          <w:lang w:val="en-US"/>
        </w:rPr>
      </w:pPr>
    </w:p>
    <w:p w14:paraId="1B5BF742" w14:textId="0D9B0FD3" w:rsidR="00AF4BCA" w:rsidRDefault="00547C4C" w:rsidP="00D131FB">
      <w:pPr>
        <w:pStyle w:val="Body"/>
        <w:spacing w:after="0" w:line="240" w:lineRule="auto"/>
      </w:pPr>
      <w:r>
        <w:rPr>
          <w:lang w:val="en-US"/>
        </w:rPr>
        <w:t xml:space="preserve">Where DOACs are contraindicated, not tolerated or not suitable in people with atrial fibrillation (mechanical heart valves or moderate to severe </w:t>
      </w:r>
      <w:r w:rsidR="005537C4">
        <w:rPr>
          <w:lang w:val="en-US"/>
        </w:rPr>
        <w:t>mitral s</w:t>
      </w:r>
      <w:r>
        <w:rPr>
          <w:lang w:val="en-US"/>
        </w:rPr>
        <w:t>tenosis)</w:t>
      </w:r>
      <w:r>
        <w:rPr>
          <w:lang w:val="pt-PT"/>
        </w:rPr>
        <w:t xml:space="preserve">, a </w:t>
      </w:r>
      <w:r>
        <w:rPr>
          <w:lang w:val="en-US"/>
        </w:rPr>
        <w:t xml:space="preserve">VKA should be offered as an alternative. For those stable on a VKA, the option of switching from a VKA to a DOAC should be discussed at the next routine appointment. </w:t>
      </w:r>
    </w:p>
    <w:p w14:paraId="77B52F1D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32296FD3" w14:textId="7CF2E595" w:rsidR="00AF4BCA" w:rsidRDefault="00547C4C" w:rsidP="00D131FB">
      <w:pPr>
        <w:pStyle w:val="Body"/>
        <w:spacing w:after="0" w:line="240" w:lineRule="auto"/>
      </w:pPr>
      <w:r>
        <w:rPr>
          <w:b/>
          <w:bCs/>
          <w:lang w:val="en-US"/>
        </w:rPr>
        <w:t>Do not dos</w:t>
      </w:r>
      <w:r>
        <w:rPr>
          <w:lang w:val="en-US"/>
        </w:rPr>
        <w:t xml:space="preserve">:  NICE clearly recommends that anticoagulation should not be offered to people at very low risk of stroke, equating to a </w:t>
      </w:r>
      <w:r w:rsidR="00D131FB">
        <w:rPr>
          <w:lang w:val="en-US"/>
        </w:rPr>
        <w:t>CHA</w:t>
      </w:r>
      <w:r w:rsidR="00D131FB" w:rsidRPr="00D131FB">
        <w:rPr>
          <w:vertAlign w:val="subscript"/>
          <w:lang w:val="en-US"/>
        </w:rPr>
        <w:t>2</w:t>
      </w:r>
      <w:r w:rsidR="00D131FB">
        <w:rPr>
          <w:lang w:val="en-US"/>
        </w:rPr>
        <w:t>DS</w:t>
      </w:r>
      <w:r w:rsidR="00D131FB" w:rsidRPr="00D131FB">
        <w:rPr>
          <w:vertAlign w:val="subscript"/>
          <w:lang w:val="en-US"/>
        </w:rPr>
        <w:t>2</w:t>
      </w:r>
      <w:r w:rsidR="00D131FB">
        <w:rPr>
          <w:lang w:val="en-US"/>
        </w:rPr>
        <w:t xml:space="preserve">VASc </w:t>
      </w:r>
      <w:r>
        <w:rPr>
          <w:lang w:val="en-US"/>
        </w:rPr>
        <w:t>score of 0 for men or 1 for women. Also</w:t>
      </w:r>
      <w:r w:rsidR="005537C4">
        <w:rPr>
          <w:lang w:val="en-US"/>
        </w:rPr>
        <w:t>,</w:t>
      </w:r>
      <w:r>
        <w:rPr>
          <w:lang w:val="en-US"/>
        </w:rPr>
        <w:t xml:space="preserve"> that anticoagulation should not be withheld solely because of a person's age or their risk of falls.</w:t>
      </w:r>
    </w:p>
    <w:p w14:paraId="547B2EFE" w14:textId="77777777" w:rsid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7AB3CB1D" w14:textId="7CDD6511" w:rsidR="00AF4BCA" w:rsidRDefault="00547C4C" w:rsidP="00D131FB">
      <w:pPr>
        <w:pStyle w:val="Body"/>
        <w:spacing w:after="0" w:line="240" w:lineRule="auto"/>
        <w:rPr>
          <w:lang w:val="en-US"/>
        </w:rPr>
      </w:pPr>
      <w:r>
        <w:rPr>
          <w:b/>
          <w:bCs/>
          <w:lang w:val="en-US"/>
        </w:rPr>
        <w:t>Stopping anticoagulation:</w:t>
      </w:r>
      <w:r>
        <w:rPr>
          <w:lang w:val="en-US"/>
        </w:rPr>
        <w:t xml:space="preserve"> anticoagulation should not be stopped in people with a diagnosis of atrial fibrillation, solely because atrial fibrillation is no longer detectable.  Decisions to stop anticoagulation should be based on a reassessment of stroke and bleeding risk using CHA2DS2</w:t>
      </w:r>
      <w:r>
        <w:rPr>
          <w:rFonts w:ascii="Cambria Math" w:eastAsia="Cambria Math" w:hAnsi="Cambria Math" w:cs="Cambria Math"/>
          <w:lang w:val="en-US"/>
        </w:rPr>
        <w:t>‑</w:t>
      </w:r>
      <w:r>
        <w:rPr>
          <w:lang w:val="en-US"/>
        </w:rPr>
        <w:t xml:space="preserve">VASc and ORBIT and a discussion of the person's preferences. </w:t>
      </w:r>
    </w:p>
    <w:p w14:paraId="227ACFE6" w14:textId="77777777" w:rsidR="00D131FB" w:rsidRDefault="00D131FB" w:rsidP="00D131FB">
      <w:pPr>
        <w:pStyle w:val="Body"/>
        <w:spacing w:after="0" w:line="240" w:lineRule="auto"/>
        <w:rPr>
          <w:lang w:val="en-US"/>
        </w:rPr>
      </w:pPr>
    </w:p>
    <w:p w14:paraId="46C67B70" w14:textId="10BAD89D" w:rsidR="00D131FB" w:rsidRPr="00D131FB" w:rsidRDefault="00D131FB" w:rsidP="00D131FB">
      <w:pPr>
        <w:pStyle w:val="Body"/>
        <w:spacing w:after="0" w:line="240" w:lineRule="auto"/>
        <w:rPr>
          <w:lang w:val="en-US"/>
        </w:rPr>
      </w:pPr>
      <w:r w:rsidRPr="00D131FB">
        <w:rPr>
          <w:b/>
          <w:bCs/>
          <w:lang w:val="en-US"/>
        </w:rPr>
        <w:t xml:space="preserve">Rate or </w:t>
      </w:r>
      <w:r w:rsidR="009542A1">
        <w:rPr>
          <w:b/>
          <w:bCs/>
          <w:lang w:val="en-US"/>
        </w:rPr>
        <w:t>r</w:t>
      </w:r>
      <w:r w:rsidRPr="00D131FB">
        <w:rPr>
          <w:b/>
          <w:bCs/>
          <w:lang w:val="en-US"/>
        </w:rPr>
        <w:t>hythm control:</w:t>
      </w:r>
      <w:r w:rsidRPr="00D131FB">
        <w:rPr>
          <w:lang w:val="en-US"/>
        </w:rPr>
        <w:t xml:space="preserve"> Offer rate control as first line treatment strategy, unless:</w:t>
      </w:r>
    </w:p>
    <w:p w14:paraId="477A624F" w14:textId="3B81CA22" w:rsidR="00D131FB" w:rsidRPr="00D131FB" w:rsidRDefault="00D131FB" w:rsidP="00D131FB">
      <w:pPr>
        <w:pStyle w:val="Body"/>
        <w:numPr>
          <w:ilvl w:val="0"/>
          <w:numId w:val="6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 xml:space="preserve">AF has a reversible cause </w:t>
      </w:r>
    </w:p>
    <w:p w14:paraId="3D1A5CBF" w14:textId="14253C5C" w:rsidR="00D131FB" w:rsidRPr="00D131FB" w:rsidRDefault="00D131FB" w:rsidP="00D131FB">
      <w:pPr>
        <w:pStyle w:val="Body"/>
        <w:numPr>
          <w:ilvl w:val="0"/>
          <w:numId w:val="6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 xml:space="preserve">the person has </w:t>
      </w:r>
      <w:r w:rsidR="00831AE8">
        <w:rPr>
          <w:lang w:val="en-US"/>
        </w:rPr>
        <w:t>heart failure</w:t>
      </w:r>
      <w:r w:rsidR="005537C4">
        <w:rPr>
          <w:lang w:val="en-US"/>
        </w:rPr>
        <w:t xml:space="preserve"> </w:t>
      </w:r>
      <w:r w:rsidRPr="00D131FB">
        <w:rPr>
          <w:lang w:val="en-US"/>
        </w:rPr>
        <w:t xml:space="preserve">thought to be caused by </w:t>
      </w:r>
      <w:r w:rsidR="00831AE8">
        <w:rPr>
          <w:lang w:val="en-US"/>
        </w:rPr>
        <w:t>atrial fibrillation</w:t>
      </w:r>
    </w:p>
    <w:p w14:paraId="3764E261" w14:textId="4A9AFB82" w:rsidR="00D131FB" w:rsidRPr="00D131FB" w:rsidRDefault="00D131FB" w:rsidP="00D131FB">
      <w:pPr>
        <w:pStyle w:val="Body"/>
        <w:numPr>
          <w:ilvl w:val="0"/>
          <w:numId w:val="6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the person has new onset AF (&lt;48 hours)</w:t>
      </w:r>
    </w:p>
    <w:p w14:paraId="344D78A8" w14:textId="36AF88DD" w:rsidR="00D131FB" w:rsidRPr="00D131FB" w:rsidRDefault="00D131FB" w:rsidP="00D131FB">
      <w:pPr>
        <w:pStyle w:val="Body"/>
        <w:numPr>
          <w:ilvl w:val="0"/>
          <w:numId w:val="6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the person has atrial flutter and their condition is suitable for ablation</w:t>
      </w:r>
    </w:p>
    <w:p w14:paraId="1B1AA192" w14:textId="446A8BCD" w:rsidR="00D131FB" w:rsidRPr="00D131FB" w:rsidRDefault="00D131FB" w:rsidP="00D131FB">
      <w:pPr>
        <w:pStyle w:val="Body"/>
        <w:numPr>
          <w:ilvl w:val="0"/>
          <w:numId w:val="6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a rhythm control strategy is more suitable based on clinical judgement (e.g. very</w:t>
      </w:r>
      <w:r>
        <w:rPr>
          <w:lang w:val="en-US"/>
        </w:rPr>
        <w:t xml:space="preserve"> </w:t>
      </w:r>
      <w:r w:rsidRPr="00D131FB">
        <w:rPr>
          <w:lang w:val="en-US"/>
        </w:rPr>
        <w:t>symptomatic despite rate control)</w:t>
      </w:r>
      <w:r w:rsidR="009542A1">
        <w:rPr>
          <w:lang w:val="en-US"/>
        </w:rPr>
        <w:t>.</w:t>
      </w:r>
    </w:p>
    <w:p w14:paraId="2DEE3B3F" w14:textId="77777777" w:rsidR="00D131FB" w:rsidRDefault="00D131FB" w:rsidP="00D131FB">
      <w:pPr>
        <w:pStyle w:val="Body"/>
        <w:spacing w:after="0" w:line="240" w:lineRule="auto"/>
        <w:rPr>
          <w:lang w:val="en-US"/>
        </w:rPr>
      </w:pPr>
    </w:p>
    <w:p w14:paraId="67B51E07" w14:textId="4EE8A9C1" w:rsidR="00D131FB" w:rsidRPr="00D131FB" w:rsidRDefault="00D131FB" w:rsidP="00D131FB">
      <w:pPr>
        <w:pStyle w:val="Body"/>
        <w:spacing w:after="0" w:line="240" w:lineRule="auto"/>
        <w:rPr>
          <w:lang w:val="en-US"/>
        </w:rPr>
      </w:pPr>
      <w:r w:rsidRPr="00D131FB">
        <w:rPr>
          <w:b/>
          <w:bCs/>
          <w:lang w:val="en-US"/>
        </w:rPr>
        <w:t>Echocardiography</w:t>
      </w:r>
      <w:r w:rsidRPr="00D131FB">
        <w:rPr>
          <w:lang w:val="en-US"/>
        </w:rPr>
        <w:t>: Only perform transthoracic echocardiogram (TTE) if a baseline echocardiogram is important for long</w:t>
      </w:r>
      <w:r w:rsidR="009542A1">
        <w:rPr>
          <w:lang w:val="en-US"/>
        </w:rPr>
        <w:t>-</w:t>
      </w:r>
      <w:r w:rsidRPr="00D131FB">
        <w:rPr>
          <w:lang w:val="en-US"/>
        </w:rPr>
        <w:t xml:space="preserve">term management, cardioversion is being considered, underlying heart disease (valve disease or heart failure) is suspected or if refinement of clinical risk stratification for </w:t>
      </w:r>
      <w:r w:rsidR="005537C4" w:rsidRPr="00D131FB">
        <w:rPr>
          <w:lang w:val="en-US"/>
        </w:rPr>
        <w:t>anti-thrombotic</w:t>
      </w:r>
      <w:r w:rsidRPr="00D131FB">
        <w:rPr>
          <w:lang w:val="en-US"/>
        </w:rPr>
        <w:t xml:space="preserve"> therapy i</w:t>
      </w:r>
      <w:r w:rsidR="005537C4">
        <w:rPr>
          <w:lang w:val="en-US"/>
        </w:rPr>
        <w:t>s</w:t>
      </w:r>
      <w:r w:rsidRPr="00D131FB">
        <w:rPr>
          <w:lang w:val="en-US"/>
        </w:rPr>
        <w:t xml:space="preserve"> needed.</w:t>
      </w:r>
    </w:p>
    <w:p w14:paraId="35F5FBF8" w14:textId="77777777" w:rsidR="00D131FB" w:rsidRDefault="00D131FB" w:rsidP="00D131FB">
      <w:pPr>
        <w:pStyle w:val="Body"/>
        <w:spacing w:after="0" w:line="240" w:lineRule="auto"/>
        <w:rPr>
          <w:lang w:val="en-US"/>
        </w:rPr>
      </w:pPr>
    </w:p>
    <w:p w14:paraId="4F50C0C6" w14:textId="77777777" w:rsidR="006A234B" w:rsidRDefault="006A234B" w:rsidP="00D131FB">
      <w:pPr>
        <w:pStyle w:val="Body"/>
        <w:spacing w:after="0" w:line="240" w:lineRule="auto"/>
        <w:rPr>
          <w:b/>
          <w:bCs/>
          <w:lang w:val="en-US"/>
        </w:rPr>
      </w:pPr>
    </w:p>
    <w:p w14:paraId="2A4DD107" w14:textId="2BA76169" w:rsidR="00D131FB" w:rsidRPr="00D131FB" w:rsidRDefault="00D131FB" w:rsidP="00D131FB">
      <w:pPr>
        <w:pStyle w:val="Body"/>
        <w:spacing w:after="0" w:line="240" w:lineRule="auto"/>
        <w:rPr>
          <w:b/>
          <w:bCs/>
          <w:lang w:val="en-US"/>
        </w:rPr>
      </w:pPr>
      <w:r w:rsidRPr="00D131FB">
        <w:rPr>
          <w:b/>
          <w:bCs/>
          <w:lang w:val="en-US"/>
        </w:rPr>
        <w:lastRenderedPageBreak/>
        <w:t>Rate control strategies:</w:t>
      </w:r>
    </w:p>
    <w:p w14:paraId="0658D542" w14:textId="5223E9D4" w:rsidR="00D131FB" w:rsidRPr="00D131FB" w:rsidRDefault="00D131FB" w:rsidP="00D131FB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 xml:space="preserve">Offer a standard beta-blocker (BB) (not </w:t>
      </w:r>
      <w:proofErr w:type="spellStart"/>
      <w:r w:rsidRPr="00D131FB">
        <w:rPr>
          <w:lang w:val="en-US"/>
        </w:rPr>
        <w:t>Sotalol</w:t>
      </w:r>
      <w:proofErr w:type="spellEnd"/>
      <w:r w:rsidRPr="00D131FB">
        <w:rPr>
          <w:lang w:val="en-US"/>
        </w:rPr>
        <w:t>) or a rate-limiting calcium channel blocker (CCB) as initial monotherapy unless the person is sedentary</w:t>
      </w:r>
    </w:p>
    <w:p w14:paraId="18FA050B" w14:textId="328F6C6D" w:rsidR="00D131FB" w:rsidRPr="00D131FB" w:rsidRDefault="00D131FB" w:rsidP="00D131FB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Base drug choice on symptoms, heart rate, comorbidities and preferences</w:t>
      </w:r>
    </w:p>
    <w:p w14:paraId="4AA03616" w14:textId="51B7A36A" w:rsidR="00D131FB" w:rsidRPr="00D131FB" w:rsidRDefault="00D131FB" w:rsidP="00D131FB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Consider digoxin therapy for non-paroxysmal AF only for people who are sedentary or cannot use other rate-limiting agents</w:t>
      </w:r>
    </w:p>
    <w:p w14:paraId="7F47C194" w14:textId="46CE4222" w:rsidR="00D131FB" w:rsidRPr="00D131FB" w:rsidRDefault="00D131FB" w:rsidP="00D131FB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>Do not offer amiodarone for long</w:t>
      </w:r>
      <w:r w:rsidR="009542A1">
        <w:rPr>
          <w:lang w:val="en-US"/>
        </w:rPr>
        <w:t>-</w:t>
      </w:r>
      <w:r w:rsidRPr="00D131FB">
        <w:rPr>
          <w:lang w:val="en-US"/>
        </w:rPr>
        <w:t>term rate control</w:t>
      </w:r>
    </w:p>
    <w:p w14:paraId="487629C3" w14:textId="71CBDD34" w:rsidR="00D131FB" w:rsidRDefault="00D131FB" w:rsidP="00D131FB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 xml:space="preserve">For people with AF and chronic heart failure follow NICE guidelines for </w:t>
      </w:r>
      <w:r w:rsidR="005537C4">
        <w:rPr>
          <w:lang w:val="en-US"/>
        </w:rPr>
        <w:t>h</w:t>
      </w:r>
      <w:r w:rsidRPr="00D131FB">
        <w:rPr>
          <w:lang w:val="en-US"/>
        </w:rPr>
        <w:t xml:space="preserve">eart </w:t>
      </w:r>
      <w:r w:rsidR="005537C4">
        <w:rPr>
          <w:lang w:val="en-US"/>
        </w:rPr>
        <w:t>f</w:t>
      </w:r>
      <w:r w:rsidRPr="00D131FB">
        <w:rPr>
          <w:lang w:val="en-US"/>
        </w:rPr>
        <w:t>ailure on BB and avoid CCBs</w:t>
      </w:r>
    </w:p>
    <w:p w14:paraId="4B546D08" w14:textId="42DD725D" w:rsidR="00F23902" w:rsidRPr="00F23902" w:rsidRDefault="00D131FB" w:rsidP="00F23902"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 w:rsidRPr="00D131FB">
        <w:rPr>
          <w:lang w:val="en-US"/>
        </w:rPr>
        <w:t xml:space="preserve">If monotherapy does not control symptoms and symptoms are thought to be due to poor rate control, consider any </w:t>
      </w:r>
      <w:r w:rsidR="009542A1">
        <w:rPr>
          <w:lang w:val="en-US"/>
        </w:rPr>
        <w:t>two</w:t>
      </w:r>
      <w:r w:rsidR="009542A1" w:rsidRPr="00D131FB">
        <w:rPr>
          <w:lang w:val="en-US"/>
        </w:rPr>
        <w:t xml:space="preserve"> </w:t>
      </w:r>
      <w:r w:rsidRPr="00D131FB">
        <w:rPr>
          <w:lang w:val="en-US"/>
        </w:rPr>
        <w:t xml:space="preserve">of the following </w:t>
      </w:r>
      <w:r w:rsidR="009542A1">
        <w:rPr>
          <w:lang w:val="en-US"/>
        </w:rPr>
        <w:t>–</w:t>
      </w:r>
      <w:r w:rsidRPr="00D131FB">
        <w:rPr>
          <w:lang w:val="en-US"/>
        </w:rPr>
        <w:t xml:space="preserve"> a beta-blocker, diltiazem and digoxin</w:t>
      </w:r>
      <w:r>
        <w:rPr>
          <w:lang w:val="en-US"/>
        </w:rPr>
        <w:t>.</w:t>
      </w:r>
    </w:p>
    <w:p w14:paraId="0892D718" w14:textId="0FBD798F" w:rsidR="00AF4BCA" w:rsidRDefault="00AF4BCA" w:rsidP="00D131FB">
      <w:pPr>
        <w:pStyle w:val="Body"/>
        <w:spacing w:after="0" w:line="240" w:lineRule="auto"/>
      </w:pPr>
    </w:p>
    <w:p w14:paraId="72ED2A6E" w14:textId="15BA4A9E" w:rsidR="00125A30" w:rsidRDefault="00125A30" w:rsidP="00D131FB">
      <w:pPr>
        <w:pStyle w:val="Body"/>
        <w:spacing w:after="0" w:line="240" w:lineRule="auto"/>
        <w:rPr>
          <w:lang w:val="en-GB"/>
        </w:rPr>
      </w:pPr>
      <w:r w:rsidRPr="006A234B">
        <w:rPr>
          <w:lang w:val="en-GB"/>
        </w:rPr>
        <w:t xml:space="preserve">The NICE guidance for AF can be found here: </w:t>
      </w:r>
      <w:hyperlink r:id="rId8" w:history="1">
        <w:r w:rsidR="0022098D" w:rsidRPr="006A234B">
          <w:rPr>
            <w:rStyle w:val="Hyperlink"/>
            <w:lang w:val="en-GB"/>
          </w:rPr>
          <w:t>https://www.nice.org.uk/guidance/NG196</w:t>
        </w:r>
      </w:hyperlink>
      <w:r w:rsidR="0022098D" w:rsidRPr="006A234B">
        <w:rPr>
          <w:lang w:val="en-GB"/>
        </w:rPr>
        <w:t xml:space="preserve"> </w:t>
      </w:r>
    </w:p>
    <w:p w14:paraId="26CD5E26" w14:textId="2FA1ADF9" w:rsidR="008D50AC" w:rsidRDefault="008D50AC" w:rsidP="00D131FB">
      <w:pPr>
        <w:pStyle w:val="Body"/>
        <w:spacing w:after="0" w:line="240" w:lineRule="auto"/>
        <w:rPr>
          <w:lang w:val="en-GB"/>
        </w:rPr>
      </w:pPr>
    </w:p>
    <w:p w14:paraId="689BFEF3" w14:textId="57AB6EF7" w:rsidR="008D50AC" w:rsidRDefault="008D50AC" w:rsidP="008D50AC">
      <w:pPr>
        <w:pStyle w:val="Body"/>
        <w:spacing w:after="0" w:line="240" w:lineRule="auto"/>
      </w:pPr>
      <w:r w:rsidRPr="008D50AC">
        <w:t xml:space="preserve">For </w:t>
      </w:r>
      <w:r>
        <w:t xml:space="preserve">more information about the PCCS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: </w:t>
      </w:r>
      <w:hyperlink r:id="rId9" w:history="1">
        <w:r w:rsidRPr="0054760E">
          <w:rPr>
            <w:rStyle w:val="Hyperlink"/>
          </w:rPr>
          <w:t>https://pccsuk.org/2020/en/page/about-us</w:t>
        </w:r>
      </w:hyperlink>
      <w:r>
        <w:t xml:space="preserve"> </w:t>
      </w:r>
    </w:p>
    <w:p w14:paraId="66CCDE5B" w14:textId="5C7B4716" w:rsidR="00541AE3" w:rsidRDefault="00541AE3" w:rsidP="008D50AC">
      <w:pPr>
        <w:pStyle w:val="Body"/>
        <w:spacing w:after="0" w:line="240" w:lineRule="auto"/>
      </w:pPr>
    </w:p>
    <w:p w14:paraId="05BFE547" w14:textId="40F59B8F" w:rsidR="00541AE3" w:rsidRPr="00541AE3" w:rsidRDefault="00541AE3" w:rsidP="00541AE3">
      <w:pPr>
        <w:pStyle w:val="Body"/>
      </w:pPr>
      <w:r>
        <w:t>F</w:t>
      </w:r>
      <w:r w:rsidRPr="00541AE3">
        <w:t xml:space="preserve">or more information </w:t>
      </w:r>
      <w:r>
        <w:t xml:space="preserve">about Heart </w:t>
      </w:r>
      <w:proofErr w:type="spellStart"/>
      <w:r>
        <w:t>Rhythm</w:t>
      </w:r>
      <w:proofErr w:type="spellEnd"/>
      <w:r>
        <w:t xml:space="preserve"> Alliance </w:t>
      </w:r>
      <w:proofErr w:type="spellStart"/>
      <w:r>
        <w:t>visit</w:t>
      </w:r>
      <w:proofErr w:type="spellEnd"/>
      <w:r>
        <w:t>:</w:t>
      </w:r>
      <w:r w:rsidRPr="00541AE3">
        <w:t xml:space="preserve"> </w:t>
      </w:r>
      <w:hyperlink r:id="rId10" w:history="1">
        <w:r w:rsidRPr="00541AE3">
          <w:rPr>
            <w:rStyle w:val="Hyperlink"/>
          </w:rPr>
          <w:t>www.heartrhythmalliance.org</w:t>
        </w:r>
      </w:hyperlink>
    </w:p>
    <w:p w14:paraId="006304C4" w14:textId="77777777" w:rsidR="00541AE3" w:rsidRPr="008D50AC" w:rsidRDefault="00541AE3" w:rsidP="008D50AC">
      <w:pPr>
        <w:pStyle w:val="Body"/>
        <w:spacing w:after="0" w:line="240" w:lineRule="auto"/>
        <w:rPr>
          <w:lang w:val="en-GB"/>
        </w:rPr>
      </w:pPr>
    </w:p>
    <w:sectPr w:rsidR="00541AE3" w:rsidRPr="008D50AC" w:rsidSect="0022098D">
      <w:headerReference w:type="default" r:id="rId11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6510" w14:textId="77777777" w:rsidR="00D0113C" w:rsidRDefault="00D0113C">
      <w:r>
        <w:separator/>
      </w:r>
    </w:p>
  </w:endnote>
  <w:endnote w:type="continuationSeparator" w:id="0">
    <w:p w14:paraId="599F32B3" w14:textId="77777777" w:rsidR="00D0113C" w:rsidRDefault="00D0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4C16" w14:textId="77777777" w:rsidR="00D0113C" w:rsidRDefault="00D0113C">
      <w:r>
        <w:separator/>
      </w:r>
    </w:p>
  </w:footnote>
  <w:footnote w:type="continuationSeparator" w:id="0">
    <w:p w14:paraId="449B58B5" w14:textId="77777777" w:rsidR="00D0113C" w:rsidRDefault="00D0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6D7E" w14:textId="4DBBD2EA" w:rsidR="00313CB7" w:rsidRDefault="00313C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CAEAA3" wp14:editId="2C132C7F">
          <wp:simplePos x="0" y="0"/>
          <wp:positionH relativeFrom="column">
            <wp:posOffset>4838700</wp:posOffset>
          </wp:positionH>
          <wp:positionV relativeFrom="paragraph">
            <wp:posOffset>-341630</wp:posOffset>
          </wp:positionV>
          <wp:extent cx="1866900" cy="8832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c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BAC"/>
    <w:multiLevelType w:val="hybridMultilevel"/>
    <w:tmpl w:val="75722B80"/>
    <w:lvl w:ilvl="0" w:tplc="44FCD34E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49DA0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A8BFE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0429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6894A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6BA8C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2E968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E427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8C45C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C75F16"/>
    <w:multiLevelType w:val="hybridMultilevel"/>
    <w:tmpl w:val="3C2002E6"/>
    <w:lvl w:ilvl="0" w:tplc="6A0CE00E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71F4"/>
    <w:multiLevelType w:val="hybridMultilevel"/>
    <w:tmpl w:val="719E4CE4"/>
    <w:lvl w:ilvl="0" w:tplc="6A0CE00E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92963"/>
    <w:multiLevelType w:val="hybridMultilevel"/>
    <w:tmpl w:val="D6AAC322"/>
    <w:lvl w:ilvl="0" w:tplc="6A0CE00E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7FFE"/>
    <w:multiLevelType w:val="hybridMultilevel"/>
    <w:tmpl w:val="115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5BCA"/>
    <w:multiLevelType w:val="hybridMultilevel"/>
    <w:tmpl w:val="A6404ECA"/>
    <w:lvl w:ilvl="0" w:tplc="2C08A53E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CA"/>
    <w:rsid w:val="001122C5"/>
    <w:rsid w:val="00125A30"/>
    <w:rsid w:val="001C21BD"/>
    <w:rsid w:val="0022098D"/>
    <w:rsid w:val="00246B69"/>
    <w:rsid w:val="00313CB7"/>
    <w:rsid w:val="00511F6B"/>
    <w:rsid w:val="00541AE3"/>
    <w:rsid w:val="00547C4C"/>
    <w:rsid w:val="005537C4"/>
    <w:rsid w:val="006A234B"/>
    <w:rsid w:val="0078581D"/>
    <w:rsid w:val="00831AE8"/>
    <w:rsid w:val="008D2031"/>
    <w:rsid w:val="008D50AC"/>
    <w:rsid w:val="009542A1"/>
    <w:rsid w:val="00965531"/>
    <w:rsid w:val="009F1925"/>
    <w:rsid w:val="009F2371"/>
    <w:rsid w:val="00A82F54"/>
    <w:rsid w:val="00AD4EAB"/>
    <w:rsid w:val="00AF4BCA"/>
    <w:rsid w:val="00B90644"/>
    <w:rsid w:val="00BF627D"/>
    <w:rsid w:val="00D0113C"/>
    <w:rsid w:val="00D131FB"/>
    <w:rsid w:val="00F23902"/>
    <w:rsid w:val="00F452B5"/>
    <w:rsid w:val="00F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68149"/>
  <w15:docId w15:val="{78EBBF03-E597-4593-A679-B758735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13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1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3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FB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6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64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rtrhythm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csuk.org/2020/en/page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Williams</dc:creator>
  <cp:lastModifiedBy>VTE Webinar </cp:lastModifiedBy>
  <cp:revision>9</cp:revision>
  <dcterms:created xsi:type="dcterms:W3CDTF">2021-05-11T17:57:00Z</dcterms:created>
  <dcterms:modified xsi:type="dcterms:W3CDTF">2021-05-13T15:45:00Z</dcterms:modified>
</cp:coreProperties>
</file>